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alUnicodeMS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rFonts w:ascii="Arial Unicode MS" w:hAnsi="Arial Unicode MS" w:eastAsia="Arial Unicode MS" w:hint="eastAsia"/>
          <w:b/>
          <w:color w:val="000000"/>
          <w:sz w:val="52"/>
          <w:lang w:val="zh-CN" w:eastAsia="zh-CN"/>
        </w:rPr>
        <w:t>EcoChill 项目文档</w:t>
      </w:r>
    </w:p>
    <w:p>
      <w:pPr>
        <w:pStyle w:val="Subtitle"/>
        <w:jc w:val="center"/>
      </w:pPr>
      <w:r>
        <w:rPr>
          <w:rFonts w:ascii="Arial Unicode MS" w:hAnsi="Arial Unicode MS" w:eastAsia="Arial Unicode MS" w:hint="eastAsia"/>
          <w:color w:val="000000"/>
          <w:sz w:val="28"/>
          <w:lang w:val="zh-CN" w:eastAsia="zh-CN"/>
        </w:rPr>
        <w:t>校园光伏 空调冷热负荷 水蓄冷蓄热协同调度数字孪生平台</w:t>
      </w:r>
    </w:p>
    <w:p>
      <w:pPr>
        <w:spacing w:after="440"/>
        <w:jc w:val="center"/>
      </w:pPr>
      <w:r>
        <w:rPr>
          <w:rFonts w:ascii="Arial Unicode MS" w:hAnsi="Arial Unicode MS" w:eastAsia="Arial Unicode MS" w:hint="eastAsia"/>
          <w:color w:val="000000"/>
          <w:sz w:val="20"/>
          <w:lang w:val="zh-CN" w:eastAsia="zh-CN"/>
        </w:rPr>
        <w:t>版本 2.0　　修订日期 2026 年 9 月 18 日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项目摘要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EcoChill 面向校园楼宇能源管理，围绕光伏发电、空调制冷与供热负荷、分层水蓄冷或蓄热、电网购电和 AI 调度建议，展示不同天气、电价和季节条件下的能源协同关系。系统把电力与冷热量分开建账，使管理人员能够判断电从哪里来、冷热量如何形成和转移，以及调度对购电峰值、电费、舒适度和碳排口径的影响。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当前交付成果是可运行的前端数字孪生演示原型，具备制冷与供热切换、四类场景、小时回放、三维分层水罐、设备详情、告警联动和深度分析。数据主要由本地 Mock 工厂生成，AI 建议是可解释的预设规则，尚未形成真实采集、优化求解、指令执行和效果核验闭环。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文档使用范围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本文用于项目说明、团队交接、技术评审与试点规划，覆盖业务定位、设备构成、能量平衡、软件实现、指标口径、测试状态和落地边界。文中的 180 m³ 水罐与温度参数均为 Mock 演示配置，不是工程选型、采购建议或已安装设备证明。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86"/>
        <w:gridCol w:w="4986"/>
      </w:tblGrid>
      <w:tr>
        <w:trPr>
          <w:cantSplit/>
          <w:tblHeader w:val="true"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项目项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当前口径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主要用户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校园后勤 楼宇运维 能源管理人员 项目评审人员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当前成熟度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前端可视化与交互演示原型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当前数据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本地 Mock 为主 预留 HTTP 读取适配层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蓄能介质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分层保温水罐中的冷水或热水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效益状态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页面收益 节能和减碳数据属于演示估算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1 项目定位与业务边界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 1 业务定位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项目协调四类对象：随天气变化的光伏电源、建筑制冷或供热需求、冷水机组或热泵、水蓄冷或蓄热系统。电网为电力缺口兜底；分层水罐跨时段转移的是冷热量，不是电力。系统通过统一场景、逐时数据、图表和三维孪生说明调度选择及其约束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产品面向校园楼宇和类似园区。首个试点宜选择一个计量边界清楚、末端可观测、运行计划明确的教学楼、图书馆或行政楼。实验室、机房等有特殊温湿度要求的区域必须设置独立约束，不能直接套用普通教室策略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 2 需要解决的问题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24"/>
        <w:gridCol w:w="3324"/>
        <w:gridCol w:w="3324"/>
      </w:tblGrid>
      <w:tr>
        <w:trPr>
          <w:cantSplit/>
          <w:tblHeader w:val="true"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现场问题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系统方式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应验证的结果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光伏高出力与冷热需求错位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在光伏剩余窗口制取并储存冷水或热水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光伏自用量 上网量与机组耗电变化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夜间低价与白天高价差异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在低谷窗口充能 高价窗口部分放能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分时购电费用与购电峰值变化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冷热源与末端信息分散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汇总电表 热量表 温度 流量 水位和设备状态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数据可追踪 异常定位效率提升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策略效果缺少可信反馈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采用同边界基线核算电量 费用 舒适度与碳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可复核的验证报告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 3 五类效益必须分开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设备实际节能，是在可比天气、占用和舒适度下，机组与水泵实际耗电相对调整基线下降。光伏替代，是自产电减少外购电，不等于空调耗电下降。负荷移峰，是把机组用电转移到其他时段，可能降低需量或电费，但总电量可能持平或因蓄能损失而增加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电费下降必须按同一计费规则计算基线账单减实际账单；碳减排还要说明排放因子、时段和光伏来源。任何一项都不能由单一节能率替代。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 4 当前边界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可交付的是数字孪生演示软件、场景与数据模型、交互分析界面及运行资料。真实项目仍需现场点位、网关、服务端、权限审计、控制反馈、设备联锁和效果验证。本仓库不包含施工图、现场自动控制程序或节能量保证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2 电力与冷热量的两套账本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2 1 单位与计量边界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电侧功率和电量分别使用 kW 与 kWh；热侧功率和冷热量分别使用 kWth 与 kWhth。两套单位不能相加。光伏和电网描述电力来源，建筑冷热负荷、机组直供和水罐放能描述热力供需。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2 2 电侧平衡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在同一小时和同一园区计量边界内，当前 Mock 使用下式：</w:t>
      </w:r>
    </w:p>
    <w:p>
      <w:pPr>
        <w:spacing w:before="60" w:after="160" w:line="276" w:lineRule="auto"/>
        <w:ind w:left="255" w:right="255"/>
        <w:shd w:fill="F3F6F8"/>
      </w:pP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光伏发电 + 电网进口 = 基础电负荷 + 机组电功率 + 水泵电功率 + 电网上网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机组电功率由机组当时承担的直接供冷或供热，加上进入水罐的充冷或充热量，再按对应运行模式的 C⁠O⁠P 折算。水泵电耗独立计入电侧负荷。光伏超过全部用电时，剩余部分进入上网量，不在统计中消失。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2 3 热侧平衡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建筑侧使用下式：</w:t>
      </w:r>
    </w:p>
    <w:p>
      <w:pPr>
        <w:spacing w:before="60" w:after="160" w:line="276" w:lineRule="auto"/>
        <w:ind w:left="255" w:right="255"/>
        <w:shd w:fill="F3F6F8"/>
      </w:pP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机组直接供冷或供热 + 水罐放冷或放热 = 建筑冷热负荷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水罐放冷或放热只减少机组当时需要直接提供的冷热量，再通过 COP 间接降低机组用电。它不是发电，也不能放在电侧等式的电源一边。机组充冷或充热属于额外的热量生产，进入水罐能量递推，但不属于当时建筑负荷。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2 4 部分蓄能原则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默认运行是部分蓄能：水罐在高价或高负荷窗口提供一部分冷热量，机组同时承担余量。判断机组能否短时完全停机，必须同时检查水罐剩余 kWhth、允许的瞬时放能 kWth、水力与末端条件；只看水位百分比不够。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2 5 两类充能窗口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低谷电价窗口由电网供电驱动机组制取冷水或热水，目标是降低账单或峰值；白天光伏窗口只在光伏超过当时电负荷、上网或限发仍有空间且水罐未满时充能，目标是提高本地消纳。两类窗口来源不同，报告时必须分开统计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3 水蓄冷蓄热设备与容量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3 1 物理设备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86"/>
        <w:gridCol w:w="4986"/>
      </w:tblGrid>
      <w:tr>
        <w:trPr>
          <w:cantSplit/>
          <w:tblHeader w:val="true"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部件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主要作用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分层保温水罐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利用温度分层保存可用冷量或热量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布水器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降低入流扰动 维持温跃层稳定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循环水泵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在机组 水罐 换热器和楼宇之间输送水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阀门与执行器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切换充能 放能 旁通和待机水路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换热器或水力分隔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隔离不同回路或解决水力耦合条件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冷水机组或热泵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使用电力制取冷水或热水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热量表与传感器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采集流量 供回水温度 热功率 水位和压差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EMS 与现场控制器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生成计划 执行安全校验 记录反馈与效果</w:t>
            </w:r>
          </w:p>
        </w:tc>
      </w:tr>
    </w:tbl>
    <w:p>
      <w:pPr>
        <w:spacing w:after="40"/>
      </w:pP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保温、结构、承压、防腐、泄漏监测、水处理和机房空间均属于工程设计事项，不能由前端演示配置替代。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3 2 显热容量近似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水的显热容量可按下式估算：</w:t>
      </w:r>
    </w:p>
    <w:p>
      <w:pPr>
        <w:spacing w:before="60" w:after="160" w:line="276" w:lineRule="auto"/>
        <w:ind w:left="255" w:right="255"/>
        <w:shd w:fill="F3F6F8"/>
      </w:pP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kWhth ≈ 1.163 × 水量 m³ × 有效温差 ℃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当前演示采用 180 m³ 水罐。制冷模式供回水为 6/13 ℃，有效温差约 7 ℃，示范容量约为 1465.4 kWhth。供热模式供回水为 45/35 ℃，有效温差约 10 ℃，示范容量约为 2093.4 kWhth。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这些数值是 Mock 演示值，不是工程选型。实际可用容量还受温跃层厚度、死水区、混合、换热端差、保温损失、最低可用温差和运行边界影响。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3 3 功率 容量和水位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kWhth 表示可转移多少冷热量，kWth 表示充冷、充热、放冷或放热的快慢。水位百分比是相对可用容量的展示指标，不是液位百分比，也不能单独推断可持续时长。可用时长应按剩余 kWhth 与当前热负荷 kWth 计算，并受最大放能功率限制。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3 4 季节切换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同一水罐在制冷季和供热季使用不同的供回水温度、机组 COP、容量和分层方向。切换不是界面换色，还需要实际系统完成水路、控制和设备适用性确认。季节切换期间的排空、清洗、水质和停机安排属于现场方案。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4 当前产品功能与操作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4 1 运行总览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运行总览把光伏和电侧信息放在左侧，把园区三维场景放在中部，把空调冷热负荷、水蓄能状态、AI 建议和告警放在右侧。顶部可切换制冷或供热以及正常、高温或寒潮、阴天和高峰电价场景；底部入口进入深度分析。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4 2 建议体验路径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打开运行总览，确认页面处于 Mock 演示模式，观察光伏 kW、电网进口 kW、建筑热负荷 kWth 和水罐水位。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在制冷和供热之间切换，核对供回水温度、容量、文案、图表和三维分层颜色同步变化。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依次切换正常、温度压力、阴天和高峰电价场景，比较负荷、充放能、购电和建议变化。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暂停回放并选择具体小时，对比夜间低谷充能、午间光伏剩余充能和高价窗口部分放能。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打开水蓄能设备详情，查看水位、可用 kWhth、充放 kWth、供回水温度、可用时长和关联告警。</w:t>
      </w:r>
    </w:p>
    <w:p>
      <w:pPr>
        <w:pStyle w:val="ListNumber"/>
        <w:spacing w:after="120" w:line="317" w:lineRule="auto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进入深度分析，分别查看电功率、冷热负荷构成、水蓄能趋势、节能减碳、收益和 AI 时间轴。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4 3 当前流程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实际软件流程是“选择季节与场景 → 加载示例数据 → 推导小时快照 → 更新面板 图表 三维与告警 → 展示规则建议”。普通回放约每 5 秒推进一小时，是演示节奏，不代表真实设备每 5 秒控制一次。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状态管理为季节和场景请求设置最新请求标识。用户快速连续切换时，较早返回或较早失败的请求不会覆盖最新选择；演示重启也可使旧的过渡请求失效。此保护提高界面一致性，但不等同于现场控制的幂等、事务或安全联锁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5 三维孪生与分析工作区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5 1 三种工作区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24"/>
        <w:gridCol w:w="3324"/>
        <w:gridCol w:w="3324"/>
      </w:tblGrid>
      <w:tr>
        <w:trPr>
          <w:cantSplit/>
          <w:tblHeader w:val="true"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工作区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适用任务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主要内容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运行总览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日常观察与现场讲解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核心指标 能源概览 三维园区 建议与告警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沉浸孪生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讲解设备关系与热量流向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扩大的三维画布 设备视角 分层水罐和动态能流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深度分析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比较趋势与追踪建议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电功率 热负荷 水蓄能 节能减碳 收益和 AI 时间轴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5 2 三维能力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场景覆盖楼宇、屋顶光伏、冷站或热泵、分层蓄能水罐和电网接入设备，支持总览、光伏、空调和水蓄能视角。水罐内部以两层颜色表示可用冷水或热水与回水区，制冷和供热采用不同分层方向；机组到水罐、水罐到楼宇的动态流根据充能或放能状态开启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工作区切换复用同一三维场景和业务选择；隐藏时停止渲染，恢复后继续运行。设备支持选中、高亮、详情和告警定位。单个模型加载失败或 WebGL 不可用时提供降级路径。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5 3 分析图表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电功率趋势只展示 kW 字段，包括光伏、总电负荷、电网进口与上网。热负荷图只展示 kWth 字段，包括建筑冷热负荷、机组直供和水罐放冷或放热。水蓄能图把充放功率放在 kWth 轴，把水位放在独立百分比轴，避免单位混淆。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5 4 孪生精度边界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当前模型是园区结构示意，没有证明与真实校园尺寸、管线、布水器和资产一一对应。分层高度与能流依据 Mock 快照生成，不可作为施工图、水力计算书或计量验收依据。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6 软件架构与关键实现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6 1 数据链路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服务层在本地 Mock 与 HTTP 读取方式之间选择；Pinia 管理季节、场景、小时、设备选择、演示和告警；Vue 组件消费同一快照；ECharts 绘制电侧与热侧趋势；Three.js 将同一业务状态映射到空间场景。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2208276"/>
            <wp:docPr id="1" name="Picture 1" descr="EcoChill 前端数据与交互链路图" title="软件架构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60"/>
        <w:jc w:val="center"/>
      </w:pPr>
      <w:r>
        <w:rPr>
          <w:rFonts w:ascii="Arial Unicode MS" w:hAnsi="Arial Unicode MS" w:eastAsia="Arial Unicode MS" w:hint="eastAsia"/>
          <w:color w:val="404040"/>
          <w:sz w:val="18"/>
          <w:lang w:val="zh-CN" w:eastAsia="zh-CN"/>
        </w:rPr>
        <w:t>图 1　当前前端数据与交互链路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6 2 技术组成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24"/>
        <w:gridCol w:w="3324"/>
        <w:gridCol w:w="3324"/>
      </w:tblGrid>
      <w:tr>
        <w:trPr>
          <w:cantSplit/>
          <w:tblHeader w:val="true"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层次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当前技术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责任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页面与样式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Vue 3 TypeScript SCSS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页面组织 组件交互 响应式布局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构建与状态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Vite Pinia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开发构建 共享状态 最新请求保护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领域计算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TypeScript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显热容量 小时递推 边界与互斥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图表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ECharts 5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电功率 热负荷 蓄能 成本与减碳趋势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三维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Three.js 0.177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园区 分层水罐 热量流 拾取与动画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质量检查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Vitest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领域 Mock 与状态交互测试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6 3 关键文件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src/domain/thermalStorage.ts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负责显热容量、小时能量递推、充放互斥、效率、损失和可用时长。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src/mock/energyMock.ts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生成制冷或供热模式下的逐时热负荷、两类充能窗口、电热平衡和经济指标。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src/types/energy.ts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明确电侧与热侧字段单位。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src/store/dashboard.ts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组织场景、季节、回放、设备详情和并发请求保护。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ThermalStoragePanel.vue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展示水罐指标；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ThermalLoadChart.vue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和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ThermalStorageChart.vue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展示热侧趋势；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createEnergyScene.ts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构建分层水罐及热量流。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6 4 后端边界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仓库尚未包含生产服务端、时序数据库、真实采集控制或调度求解器。接入真实设备时，应把权威计量、预测、优化、权限、指令和回执放在可审计的服务端，前端只展示经过校验的状态与计划。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7 数据模型与接口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7 1 核心对象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24"/>
        <w:gridCol w:w="3324"/>
        <w:gridCol w:w="3324"/>
      </w:tblGrid>
      <w:tr>
        <w:trPr>
          <w:cantSplit/>
          <w:tblHeader w:val="true"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对象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主要字段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当前用途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ThermalStorageMetrics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模式 状态 容量 剩余量 水位 充放功率 温度 可用时长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面板 详情 三维状态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HourlyPoint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光伏 基础负荷 机组与水泵电功率 进出口功率 热负荷 充放热功率 储能量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24 小时曲线 回放与核算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LiveDashboardSnapshot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当前小时指标 设备和建议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面板 图表 三维联动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SystemNodeStatus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设备标识 kW 或 kWth 状态与说明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孪生设备详情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SystemAlert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等级 设备 指标 建议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告警筛选 定位与详情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AiDecisionOutput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建议 规则评分 预期收益 时间轴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策略解释与演示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7 2 HTTP 读取契约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接口基地址由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VITE_DASHBOARD_API_BASE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指定，默认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/api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。只有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VITE_DASHBOARD_DATA_SOURCE=api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时启用 HTTP 适配器，否则使用 Mock。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24"/>
        <w:gridCol w:w="3324"/>
        <w:gridCol w:w="3324"/>
      </w:tblGrid>
      <w:tr>
        <w:trPr>
          <w:cantSplit/>
          <w:tblHeader w:val="true"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方法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路径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响应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GET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/dashboard/scenario?mode=normal&amp;operationMode=cooling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DashboardScenarioData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GET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/dashboard/presentation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PresentationChapter 数组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GET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/dashboard/runtime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DashboardRuntimeMeta</w:t>
            </w:r>
          </w:p>
        </w:tc>
      </w:tr>
    </w:tbl>
    <w:p>
      <w:pPr>
        <w:spacing w:after="40"/>
      </w:pP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mode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支持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normal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、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heatwave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、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cloudy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、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peakPricing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；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operationMode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支持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cooling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与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heating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。这些是读取约定，不代表已提供后端或控制接口。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7 3 真实数据要求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每条遥测应携带设备标识、采集时间、单位、来源和质量标记。电功率、热功率、累计电量和累计冷热量必须分开；同时统一时区、采样间隔、缺失值、异常值、设备离线和数据过期处理。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API 加载失败时，当前演示可回退到本地 Mock 并显示来源提示。真实运行不得把回退数据继续作为控制输入。前端的最新请求保护只能避免界面被旧响应覆盖，服务端仍需提供请求身份、版本、幂等和失效机制。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8 水蓄能调度逻辑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8 1 逐时状态递推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每个小时先根据上个小时剩余 kWhth、保温损失、充能效率和放能需求计算新的水罐状态。充能和放能互斥；接受功率受最大 kWth、剩余容量、已有能量和小时长度限制。结果被约束在零与总容量之间。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8 2 充能优先级</w:t>
      </w:r>
    </w:p>
    <w:p>
      <w:pPr>
        <w:pStyle w:val="ListNumber"/>
        <w:spacing w:after="120" w:line="317" w:lineRule="auto"/>
        <w:numPr>
          <w:ilvl w:val="0"/>
          <w:numId w:val="10"/>
        </w:numPr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低谷电价窗口：机组使用电网供电制取冷水或热水，目标是移峰和费用优化。</w:t>
      </w:r>
    </w:p>
    <w:p>
      <w:pPr>
        <w:pStyle w:val="ListNumber"/>
        <w:spacing w:after="120" w:line="317" w:lineRule="auto"/>
        <w:numPr>
          <w:ilvl w:val="0"/>
          <w:numId w:val="10"/>
        </w:numPr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白天光伏剩余窗口：先满足基础电负荷和当时机组直接供给需求，只有仍有光伏余量时才增加充能。</w:t>
      </w:r>
    </w:p>
    <w:p>
      <w:pPr>
        <w:pStyle w:val="ListNumber"/>
        <w:spacing w:after="120" w:line="317" w:lineRule="auto"/>
        <w:numPr>
          <w:ilvl w:val="0"/>
          <w:numId w:val="10"/>
        </w:numPr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水罐接近目标水位、机组能力不足或预计高价窗口需求不大时，限制或停止充能。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两类充能在统计中分别解释。低谷电网充能不能计成光伏消纳；光伏充能的可再生属性还需考虑后续损失与来源追踪。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8 3 放能与部分供给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高价、高负荷或光伏不足窗口可安排放冷或放热。水罐放能不超过当时建筑热负荷，因此热侧始终满足“机组直供加水罐放能等于建筑负荷”。当前策略按负荷比例安排部分放能，避免默认假设机组停机。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全停条件至少包括：剩余 kWhth 足以覆盖目标时长、允许的放能 kWth 不低于负荷、泵阀与水力条件允许、供水温度可达、末端舒适度受控、机组最短停机时间满足。任一条件不满足时，机组继续承担余量。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8 4 目标闭环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拟落地流程为：采集并校验 → 预测光伏和冷热负荷 → 在功率、容量、舒适度和设备约束下生成计划 → 人工或服务端确认 → 下发带版本和有效期的目标 → 设备回传 → 遥测核验 → 滚动修正。早期试点宜从只读监测和人工确认开始。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9 经济与碳核算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9 1 有符号账单差额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电费节省采用：</w:t>
      </w:r>
    </w:p>
    <w:p>
      <w:pPr>
        <w:spacing w:before="60" w:after="160" w:line="276" w:lineRule="auto"/>
        <w:ind w:left="255" w:right="255"/>
        <w:shd w:fill="F3F6F8"/>
      </w:pP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电费节省 = 基线账单 - 实际账单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实际账单必须包含充冷或充热引起的机组用电、水泵及其他辅机用电。结果可以为负，负值表示调度在该口径下增加费用，不应截断为零或改写为收益。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9 2 电量电费与需量费用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分时电量电费按各时段 kWh 与单价计算。最大需量、容量或峰值费用按当地计费规则单独计算，不能把削峰百分比直接乘电量单价。上网收益也应单列，避免与购电减少重复计入。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9 3 比较基线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至少保留三类可比方案：无光伏无水蓄能、同一光伏但无水蓄能、同一光伏加水蓄能。第一组用于观察总体购电变化，第二组用于识别水蓄能的增量费用效果。三组应使用相同天气、占用、冷热负荷、价格和计量边界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9 4 设备节能 光伏替代和移峰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设备节能需要调整基线并比较机组和水泵实际 kWh；光伏替代比较并网点进口电量；移峰比较分时电量与最大购电功率。水蓄能有保温、换热和泵耗，总能耗可能增加，但仍可能因电价或需量降低而减少账单。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9 5 碳核算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碳排计算应明确区域或边际排放因子、时段、核算边界和光伏来源。低价不等于低碳，夜间电网充能后白天放能也不自动减碳。光伏先充入水罐再间接减少机组用电时，只能计一次可再生贡献。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10 AI 建议与界面表达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10 1 当前 AI 能力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 AI 面板使用规则生成策略标题、说明、置信度、评分、预期费用与碳结果，并以时间轴解释场景变化。它适合演示“为什么在此时充能或放能”，不代表已训练预测模型或已部署自动优化器。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10 2 建议应说明的内容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一条可审查建议至少应说明：当前季节与场景、光伏和电价窗口、建筑冷热负荷、水罐剩余 kWhth、可用放能 kWth、机组 COP、预期水泵代价、舒适度边界和退出条件。建议文本应区分低谷电网充能与光伏剩余充能。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10 3 当前界面映射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顶部显示季节、场景和核心指标；右侧水蓄能面板显示水位、可用量、充放热功率、温度与时长；设备详情关联同一小时数据；三维场景显示分层与流向；底部图表分开呈现电侧和热侧。AI 时间轴把场景选择、充放能动作和收益估算串联起来。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10 4 使用限制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置信度和预期效益是演示参数，不是统计验证结果。未来算法应公开目标函数、约束、预测误差和版本，记录候选方案与最终选择。现场控制必须由具备权限和安全校验的服务端执行，不应由浏览器直接驱动泵阀或机组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11 安装运行与验证状态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11 1 本地运行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在仓库根目录执行：</w:t>
      </w:r>
    </w:p>
    <w:p>
      <w:pPr>
        <w:spacing w:before="60" w:after="160" w:line="276" w:lineRule="auto"/>
        <w:ind w:left="255" w:right="255"/>
        <w:shd w:fill="F3F6F8"/>
      </w:pP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npm ci</w:t>
      </w:r>
      <w:r>
        <w:br/>
      </w: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npm run dev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默认无需外部服务即可运行 Mock 演示。切换 HTTP 读取时设置：</w:t>
      </w:r>
    </w:p>
    <w:p>
      <w:pPr>
        <w:spacing w:before="60" w:after="160" w:line="276" w:lineRule="auto"/>
        <w:ind w:left="255" w:right="255"/>
        <w:shd w:fill="F3F6F8"/>
      </w:pP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VITE_DASHBOARD_DATA_SOURCE=api</w:t>
      </w:r>
      <w:r>
        <w:br/>
      </w: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VITE_DASHBOARD_API_BASE=/api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Vite 前缀变量会进入前端构建，不得放入服务端密钥。生产静态部署还需配置同源代理、模型资源路径、HTTPS 和缓存策略。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11 2 验证命令</w:t>
      </w:r>
    </w:p>
    <w:p>
      <w:pPr>
        <w:spacing w:before="60" w:after="160" w:line="276" w:lineRule="auto"/>
        <w:ind w:left="255" w:right="255"/>
        <w:shd w:fill="F3F6F8"/>
      </w:pP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npm test</w:t>
      </w:r>
      <w:r>
        <w:br/>
      </w: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npm run type-check</w:t>
      </w:r>
      <w:r>
        <w:br/>
      </w:r>
      <w:r>
        <w:rPr>
          <w:rFonts w:ascii="Arial Unicode MS" w:hAnsi="Arial Unicode MS" w:eastAsia="Arial Unicode MS" w:hint="eastAsia"/>
          <w:color w:val="1F2937"/>
          <w:sz w:val="19"/>
          <w:lang w:val="zh-CN" w:eastAsia="zh-CN"/>
        </w:rPr>
        <w:t>npm run build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11 3 当前测试状态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当前自动化测试测试覆盖显热容量、充放互斥、容量边界、逐时损失与效率、电侧和热侧平衡、两类成本基线、制冷供热配置、设备详情、场景切换以及最新请求保护。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测试通过只说明当前代码满足已写断言，不代表现场冷热量计量、节能量、控制安全或工程设计已经验收。每次代码变化后都应重新运行完整测试、类型检查和构建。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11 4 演示检查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演示前检查字体、图表、三维模型和降级提示；依次验证季节切换、场景切换、小时回放、水罐详情、热侧图表、并发快速切换和告警定位。答辩中明确数据为 Mock，准备本地运行和录屏备份。</w:t>
      </w: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12 试点验证与工程边界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12 1 小范围试点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先确认并网点和机组计量边界、热量表位置、供回水温度与流量、楼宇分区、占用计划和时钟同步，再积累覆盖不同天气与使用强度的基线。试验期保持舒适度和服务要求可比，记录缺失、异常和人工干预。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验证顺序建议为：只读监测 → 人工确认建议 → 受限自动执行。报告应包含原始数据、剔除规则、基线模型、参数版本、账单规则、舒适度结果与不确定性。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12 2 现场选型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实际水罐容积和温差必须依据逐时冷热负荷、目标移峰时长、机组余量、可用场地、换热方式、管网压差、保温损失和投资测算确定。水泵、阀门、布水器、换热器、热量表和传感器应由暖通、结构、电气和自控专业共同确认。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180 m³、6/13 ℃、45/35 ℃以及当前 COP 仅用于演示。项目不得据此直接采购设备、确定施工方案或承诺收益。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12 3 不在当前范围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不包含施工图设计、建筑结构复核、压力容器判定、泵阀选型、现场控制柜、保护与联锁、网络安全、生产后端、控制权限、调试投运和节能量保证。真实控制需要设备厂商、设计单位、施工单位与业主运维共同参与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12 4 阶段路线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24"/>
        <w:gridCol w:w="3324"/>
        <w:gridCol w:w="3324"/>
      </w:tblGrid>
      <w:tr>
        <w:trPr>
          <w:cantSplit/>
          <w:tblHeader w:val="true"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阶段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主要交付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进入下一阶段的条件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物理一致仿真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两套账本 水罐递推 多方案对照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边界用例通过 单位与去向完整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单楼宇只读试点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点位表 网关 计量与环境记录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数据连续可追溯 计量边界一致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受限策略执行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服务端计划 人工确认 指令回执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越界可拦截 超时可回退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效果与成本验证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基线报告 舒适度与账单测算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结果可复核 风险可接受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扩展复制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多楼宇配置 权限 运维与交付包</w:t>
            </w:r>
          </w:p>
        </w:tc>
        <w:tc>
          <w:tcPr>
            <w:tcW w:type="dxa" w:w="3324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不依赖人工改代码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Arial Unicode MS" w:hAnsi="Arial Unicode MS" w:eastAsia="Arial Unicode MS" w:hint="eastAsia"/>
          <w:b w:val="0"/>
          <w:color w:val="000000"/>
          <w:sz w:val="36"/>
          <w:lang w:val="zh-CN" w:eastAsia="zh-CN"/>
        </w:rPr>
        <w:t>13 术语与资料索引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13 1 常用术语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86"/>
        <w:gridCol w:w="4986"/>
      </w:tblGrid>
      <w:tr>
        <w:trPr>
          <w:cantSplit/>
          <w:tblHeader w:val="true"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术语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DCE6F1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hint="eastAsia"/>
                <w:b/>
                <w:color w:val="000000"/>
                <w:sz w:val="18"/>
                <w:lang w:val="zh-CN" w:eastAsia="zh-CN"/>
              </w:rPr>
              <w:t>本项目含义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kW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电功率 某时刻或区间平均的用电发电速率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kWh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电能 1 kW 持续 1 小时对应 1 kWh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kWth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热功率 表示供冷或供热速率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kWhth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冷热量 1 kWth 持续 1 小时对应 1 kWhth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COP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机组输出冷热量与输入电能的比值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分层水罐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依靠温度分层保存可用冷水或热水的保温水罐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部分蓄能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水罐承担部分热负荷 机组承担余量的运行方式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EMS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能源管理系统 负责计划 协调 监控和记录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HVAC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供暖 通风与空气调节系统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数字孪生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7F9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关联设备结构与状态的数字表示 当前为示意模型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Mock</w:t>
            </w:r>
          </w:p>
        </w:tc>
        <w:tc>
          <w:tcPr>
            <w:tcW w:type="dxa" w:w="498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 w:hint="eastAsia"/>
                <w:b w:val="0"/>
                <w:color w:val="000000"/>
                <w:sz w:val="18"/>
                <w:lang w:val="zh-CN" w:eastAsia="zh-CN"/>
              </w:rPr>
              <w:t>为开发和演示生成的数据 不是现场测量值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13 2 当前实现索引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以下路径均相对于仓库根目录：</w:t>
      </w:r>
    </w:p>
    <w:p>
      <w:pPr>
        <w:pStyle w:val="ListNumber"/>
        <w:spacing w:after="120" w:line="317" w:lineRule="auto"/>
        <w:numPr>
          <w:ilvl w:val="0"/>
          <w:numId w:val="11"/>
        </w:numPr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src/domain/thermalStorage.ts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：显热容量与逐时水蓄能递推。</w:t>
      </w:r>
    </w:p>
    <w:p>
      <w:pPr>
        <w:pStyle w:val="ListNumber"/>
        <w:spacing w:after="120" w:line="317" w:lineRule="auto"/>
        <w:numPr>
          <w:ilvl w:val="0"/>
          <w:numId w:val="11"/>
        </w:numPr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src/mock/energyMock.ts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：制冷供热场景、两套平衡、充放能和经济指标。</w:t>
      </w:r>
    </w:p>
    <w:p>
      <w:pPr>
        <w:pStyle w:val="ListNumber"/>
        <w:spacing w:after="120" w:line="317" w:lineRule="auto"/>
        <w:numPr>
          <w:ilvl w:val="0"/>
          <w:numId w:val="11"/>
        </w:numPr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src/types/energy.ts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：电侧与热侧字段和单位。</w:t>
      </w:r>
    </w:p>
    <w:p>
      <w:pPr>
        <w:pStyle w:val="ListNumber"/>
        <w:spacing w:after="120" w:line="317" w:lineRule="auto"/>
        <w:numPr>
          <w:ilvl w:val="0"/>
          <w:numId w:val="11"/>
        </w:numPr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src/store/dashboard.ts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：场景、季节、回放、详情、告警和最新请求保护。</w:t>
      </w:r>
    </w:p>
    <w:p>
      <w:pPr>
        <w:pStyle w:val="ListNumber"/>
        <w:spacing w:after="120" w:line="317" w:lineRule="auto"/>
        <w:numPr>
          <w:ilvl w:val="0"/>
          <w:numId w:val="11"/>
        </w:numPr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src/components/panels/ThermalStoragePanel.vue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：水蓄冷或蓄热面板。</w:t>
      </w:r>
    </w:p>
    <w:p>
      <w:pPr>
        <w:pStyle w:val="ListNumber"/>
        <w:spacing w:after="120" w:line="317" w:lineRule="auto"/>
        <w:numPr>
          <w:ilvl w:val="0"/>
          <w:numId w:val="11"/>
        </w:numPr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src/components/charts/ThermalLoadChart.vue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与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ThermalStorageChart.vue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：热负荷与水蓄能趋势。</w:t>
      </w:r>
    </w:p>
    <w:p>
      <w:pPr>
        <w:pStyle w:val="ListNumber"/>
        <w:spacing w:after="120" w:line="317" w:lineRule="auto"/>
        <w:numPr>
          <w:ilvl w:val="0"/>
          <w:numId w:val="11"/>
        </w:numPr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src/three/createEnergyScene.ts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：分层水罐、季节颜色和热量流。</w:t>
      </w:r>
    </w:p>
    <w:p>
      <w:pPr>
        <w:pStyle w:val="ListNumber"/>
        <w:spacing w:after="120" w:line="317" w:lineRule="auto"/>
        <w:numPr>
          <w:ilvl w:val="0"/>
          <w:numId w:val="11"/>
        </w:numPr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src/domain/thermalStorage.test.ts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、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src/mock/energyMock.test.ts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 xml:space="preserve"> 与 </w:t>
      </w: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src/store/dashboard.test.ts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：领域、数据与状态验证。</w:t>
      </w:r>
    </w:p>
    <w:p>
      <w:pPr>
        <w:pStyle w:val="ListNumber"/>
        <w:spacing w:after="120" w:line="317" w:lineRule="auto"/>
        <w:numPr>
          <w:ilvl w:val="0"/>
          <w:numId w:val="11"/>
        </w:numPr>
      </w:pPr>
      <w:r>
        <w:rPr>
          <w:rFonts w:ascii="Arial Unicode MS" w:hAnsi="Arial Unicode MS" w:eastAsia="Arial Unicode MS" w:hint="eastAsia"/>
          <w:color w:val="1F2937"/>
          <w:sz w:val="20"/>
          <w:lang w:val="zh-CN" w:eastAsia="zh-CN"/>
        </w:rPr>
        <w:t>README.md</w:t>
      </w: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：项目概览、运行方式与边界。</w:t>
      </w:r>
    </w:p>
    <w:p>
      <w:pPr>
        <w:pStyle w:val="Heading2"/>
      </w:pPr>
      <w:r>
        <w:rPr>
          <w:rFonts w:ascii="Arial Unicode MS" w:hAnsi="Arial Unicode MS" w:eastAsia="Arial Unicode MS" w:hint="eastAsia"/>
          <w:b w:val="0"/>
          <w:color w:val="000000"/>
          <w:sz w:val="26"/>
          <w:lang w:val="zh-CN" w:eastAsia="zh-CN"/>
        </w:rPr>
        <w:t>13 3 交付口径</w:t>
      </w:r>
    </w:p>
    <w:p>
      <w:pPr>
        <w:spacing w:after="120" w:line="317" w:lineRule="auto"/>
        <w:ind w:firstLine="420"/>
      </w:pPr>
      <w:r>
        <w:rPr>
          <w:rFonts w:ascii="Arial Unicode MS" w:hAnsi="Arial Unicode MS" w:eastAsia="Arial Unicode MS" w:hint="eastAsia"/>
          <w:color w:val="000000"/>
          <w:sz w:val="21"/>
          <w:lang w:val="zh-CN" w:eastAsia="zh-CN"/>
        </w:rPr>
        <w:t>当前系统可演示校园光伏、空调冷热负荷、水蓄冷或蓄热和电网的协同关系，并解释部分蓄能、两类充能窗口及两套能量账本。真实节能、闭环控制、工程投运和商业收益必须按试点与验收流程形成证据后再对外确认。</w:t>
      </w:r>
    </w:p>
    <w:sectPr w:rsidR="00FC693F" w:rsidRPr="0006063C" w:rsidSect="00034616">
      <w:footerReference w:type="default" r:id="rId9"/>
      <w:pgSz w:w="12240" w:h="15840"/>
      <w:pgMar w:top="1020" w:right="1134" w:bottom="964" w:left="1134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Unicode MS">
    <w:embedRegular r:id="rIdEcoChillFont" w:fontKey="{DB0C0146-5D98-4145-B106-E9730C417C9A}" w:subsetted="0"/>
    <w:embedBold r:id="rIdEcoChillFont" w:fontKey="{DB0C0146-5D98-4145-B106-E9730C417C9A}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hint="eastAsia"/>
        <w:color w:val="404040"/>
        <w:sz w:val="17"/>
        <w:lang w:val="zh-CN" w:eastAsia="zh-CN"/>
      </w:rPr>
      <w:t xml:space="preserve">EcoChill 项目文档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17" w:lineRule="auto" w:after="120"/>
      <w:snapToGrid w:val="0"/>
    </w:pPr>
    <w:rPr>
      <w:rFonts w:ascii="Arial Unicode MS" w:hAnsi="Arial Unicode MS" w:eastAsia="Arial Unicode MS" w:cs="Arial Unicode MS" w:hint="eastAsia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 w:line="504" w:lineRule="exact"/>
      <w:outlineLvl w:val="0"/>
      <w:snapToGrid w:val="0"/>
    </w:pPr>
    <w:rPr>
      <w:rFonts w:cstheme="majorBidi" w:ascii="Arial Unicode MS" w:hAnsi="Arial Unicode MS" w:eastAsia="Arial Unicode MS" w:cs="Arial Unicode MS" w:hint="eastAsia"/>
      <w:b w:val="0"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50" w:lineRule="exact"/>
      <w:outlineLvl w:val="1"/>
      <w:snapToGrid w:val="0"/>
    </w:pPr>
    <w:rPr>
      <w:rFonts w:cstheme="majorBidi" w:ascii="Arial Unicode MS" w:hAnsi="Arial Unicode MS" w:eastAsia="Arial Unicode MS" w:cs="Arial Unicode MS" w:hint="eastAsia"/>
      <w:b w:val="0"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700" w:lineRule="exact" w:before="840"/>
      <w:contextualSpacing/>
      <w:snapToGrid w:val="0"/>
      <w:jc w:val="center"/>
    </w:pPr>
    <w:rPr>
      <w:rFonts w:cstheme="majorBidi" w:ascii="Arial Unicode MS" w:hAnsi="Arial Unicode MS" w:eastAsia="Arial Unicode MS" w:cs="Arial Unicode MS" w:hint="eastAsia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 w:line="336" w:lineRule="exact"/>
      <w:snapToGrid w:val="0"/>
      <w:jc w:val="center"/>
    </w:pPr>
    <w:rPr>
      <w:rFonts w:cstheme="majorBidi" w:ascii="Arial Unicode MS" w:hAnsi="Arial Unicode MS" w:eastAsia="Arial Unicode MS" w:cs="Arial Unicode MS" w:hint="eastAsia"/>
      <w:b w:val="0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88" w:lineRule="auto"/>
      <w:contextualSpacing/>
    </w:pPr>
    <w:rPr>
      <w:rFonts w:ascii="Arial Unicode MS" w:hAnsi="Arial Unicode MS" w:eastAsia="Arial Unicode MS" w:cs="Arial Unicode MS" w:hint="eastAsia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88" w:lineRule="auto"/>
      <w:contextualSpacing/>
    </w:pPr>
    <w:rPr>
      <w:rFonts w:ascii="Arial Unicode MS" w:hAnsi="Arial Unicode MS" w:eastAsia="Arial Unicode MS" w:cs="Arial Unicode MS" w:hint="eastAsia"/>
      <w:b w:val="0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exact" w:after="180"/>
      <w:snapToGrid w:val="0"/>
    </w:pPr>
    <w:rPr>
      <w:rFonts w:ascii="Arial" w:hAnsi="Arial" w:eastAsia="Hiragino Sans GB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EcoChillFont" Type="http://schemas.openxmlformats.org/officeDocument/2006/relationships/font" Target="fonts/ArialUnicodeM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EcoChill 项目文档</dc:title>
  <dc:subject>校园光伏 空调冷热负荷 水蓄冷蓄热协同调度数字孪生平台</dc:subject>
  <dc:creator>EcoChill 项目组</dc:creator>
  <cp:keywords>光伏, 空调, 水蓄冷, 水蓄热, 分层水罐, 数字孪生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