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UnicodeMS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Arial Unicode MS" w:hAnsi="Arial Unicode MS" w:eastAsia="Arial Unicode MS" w:hint="eastAsia"/>
          <w:b/>
          <w:color w:val="000000"/>
          <w:sz w:val="52"/>
          <w:lang w:val="zh-CN" w:eastAsia="zh-CN"/>
        </w:rPr>
        <w:t>EcoChill 项目文档</w:t>
      </w:r>
    </w:p>
    <w:p>
      <w:pPr>
        <w:pStyle w:val="Subtitle"/>
        <w:jc w:val="center"/>
      </w:pPr>
      <w:r>
        <w:rPr>
          <w:rFonts w:ascii="Arial Unicode MS" w:hAnsi="Arial Unicode MS" w:eastAsia="Arial Unicode MS" w:hint="eastAsia"/>
          <w:color w:val="000000"/>
          <w:sz w:val="28"/>
          <w:lang w:val="zh-CN" w:eastAsia="zh-CN"/>
        </w:rPr>
        <w:t>校园光伏 空调冷热负荷 水蓄冷蓄热协同调度数字孪生平台</w:t>
      </w:r>
    </w:p>
    <w:p>
      <w:pPr>
        <w:spacing w:after="440"/>
        <w:jc w:val="center"/>
      </w:pPr>
      <w:r>
        <w:rPr>
          <w:rFonts w:ascii="Arial Unicode MS" w:hAnsi="Arial Unicode MS" w:eastAsia="Arial Unicode MS" w:hint="eastAsia"/>
          <w:color w:val="000000"/>
          <w:sz w:val="20"/>
          <w:lang w:val="zh-CN" w:eastAsia="zh-CN"/>
        </w:rPr>
        <w:t>版本 2.0　　修订日期 2026 年 9 月 18 日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项目摘要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EcoChill 面向校园楼宇能源管理，围绕光伏发电、空调制冷与供热负荷、分层水蓄冷或蓄热、电网购电和 AI 调度建议，展示不同天气、电价和季节条件下的能源协同关系。系统把电力与冷热量分开建账，使管理人员能够判断电从哪里来、冷热量如何形成和转移，以及调度对购电峰值、电费、舒适度和碳排口径的影响。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当前交付成果是可运行的前端数字孪生演示原型，具备制冷与供热切换、四类场景、小时回放、三维分层水罐、设备详情、告警联动和深度分析。数据主要由本地 Mock 工厂生成，AI 建议是可解释的预设规则，尚未形成真实采集、优化求解、指令执行和效果核验闭环。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文档使用范围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本文用于项目说明、团队交接、技术评审与试点规划，覆盖业务定位、设备构成、能量平衡、软件实现、指标口径、测试状态和落地边界。文中的 180 m³ 水罐与温度参数均为 Mock 演示配置，不是工程选型、采购建议或已安装设备证明。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rPr>
          <w:cantSplit/>
          <w:tblHeader w:val="true"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项目项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当前口径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主要用户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校园后勤 楼宇运维 能源管理人员 项目评审人员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当前成熟度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前端可视化与交互演示原型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当前数据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本地 Mock 为主 预留 HTTP 读取适配层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蓄能介质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分层保温水罐中的冷水或热水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效益状态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页面收益 节能和减碳数据属于演示估算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 项目定位与业务边界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1 业务定位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项目协调四类对象：随天气变化的光伏电源、建筑制冷或供热需求、冷水机组或热泵、水蓄冷或蓄热系统。电网为电力缺口兜底；分层水罐跨时段转移的是冷热量，不是电力。系统通过统一场景、逐时数据、图表和三维孪生说明调度选择及其约束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产品面向校园楼宇和类似园区。首个试点宜选择一个计量边界清楚、末端可观测、运行计划明确的教学楼、图书馆或行政楼。实验室、机房等有特殊温湿度要求的区域必须设置独立约束，不能直接套用普通教室策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2 需要解决的问题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现场问题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系统方式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应验证的结果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光伏高出力与冷热需求错位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在光伏剩余窗口制取并储存冷水或热水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光伏自用量 上网量与机组耗电变化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夜间低价与白天高价差异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在低谷窗口充能 高价窗口部分放能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分时购电费用与购电峰值变化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冷热源与末端信息分散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汇总电表 热量表 温度 流量 水位和设备状态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数据可追踪 异常定位效率提升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策略效果缺少可信反馈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采用同边界基线核算电量 费用 舒适度与碳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可复核的验证报告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3 五类效益必须分开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设备实际节能，是在可比天气、占用和舒适度下，机组与水泵实际耗电相对调整基线下降。光伏替代，是自产电减少外购电，不等于空调耗电下降。负荷移峰，是把机组用电转移到其他时段，可能降低需量或电费，但总电量可能持平或因蓄能损失而增加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电费下降必须按同一计费规则计算基线账单减实际账单；碳减排还要说明排放因子、时段和光伏来源。任何一项都不能由单一节能率替代。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4 当前边界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可交付的是数字孪生演示软件、场景与数据模型、交互分析界面及运行资料。真实项目仍需现场点位、网关、服务端、权限审计、控制反馈、设备联锁和效果验证。本仓库不包含施工图、现场自动控制程序或节能量保证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2 电力与冷热量的两套账本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1 单位与计量边界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电侧功率和电量分别使用 kW 与 kWh；热侧功率和冷热量分别使用 kWth 与 kWhth。两套单位不能相加。光伏和电网描述电力来源，建筑冷热负荷、机组直供和水罐放能描述热力供需。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2 电侧平衡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在同一小时和同一园区计量边界内，当前 Mock 使用下式：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光伏发电 + 电网进口 = 基础电负荷 + 机组电功率 + 水泵电功率 + 电网上网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机组电功率由机组当时承担的直接供冷或供热，加上进入水罐的充冷或充热量，再按对应运行模式的 COP 折算。水泵电耗独立计入电侧负荷。光伏超过全部用电时，剩余部分进入上网量，不在统计中消失。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3 热侧平衡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建筑侧使用下式：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机组直接供冷或供热 + 水罐放冷或放热 = 建筑冷热负荷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水罐放冷或放热只减少机组当时需要直接提供的冷热量，再通过 COP 间接降低机组用电。它不是发电，也不能放在电侧等式的电源一边。机组充冷或充热属于额外的热量生产，进入水罐能量递推，但不属于当时建筑负荷。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4 部分蓄能原则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默认运行是部分蓄能：水罐在高价或高负荷窗口提供一部分冷热量，机组同时承担余量。判断机组能否短时完全停机，必须同时检查水罐剩余 kWhth、允许的瞬时放能 kWth、水力与末端条件；只看水位百分比不够。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5 两类充能窗口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低谷电价窗口由电网供电驱动机组制取冷水或热水，目标是降低账单或峰值；白天光伏窗口只在光伏超过当时电负荷、上网或限发仍有空间且水罐未满时充能，目标是提高本地消纳。两类窗口来源不同，报告时必须分开统计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3 水蓄冷蓄热设备与容量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1 物理设备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rPr>
          <w:cantSplit/>
          <w:tblHeader w:val="true"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部件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主要作用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分层保温水罐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利用温度分层保存可用冷量或热量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布水器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降低入流扰动 维持温跃层稳定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循环水泵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在机组 水罐 换热器和楼宇之间输送水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阀门与执行器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切换充能 放能 旁通和待机水路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换热器或水力分隔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隔离不同回路或解决水力耦合条件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冷水机组或热泵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使用电力制取冷水或热水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热量表与传感器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采集流量 供回水温度 热功率 水位和压差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EMS 与现场控制器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生成计划 执行安全校验 记录反馈与效果</w:t>
            </w:r>
          </w:p>
        </w:tc>
      </w:tr>
    </w:tbl>
    <w:p>
      <w:pPr>
        <w:spacing w:after="40"/>
      </w:pP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保温、结构、承压、防腐、泄漏监测、水处理和机房空间均属于工程设计事项，不能由前端演示配置替代。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2 显热容量近似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水的显热容量可按下式估算：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kWhth ≈ 1.163 × 水量 m³ × 有效温差 ℃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当前演示采用 180 m³ 水罐。制冷模式供回水为 6/13 ℃，有效温差约 7 ℃，示范容量约为 1465.4 kWhth。供热模式供回水为 45/35 ℃，有效温差约 10 ℃，示范容量约为 2093.4 kWhth。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这些数值是 Mock 演示值，不是工程选型。实际可用容量还受温跃层厚度、死水区、混合、换热端差、保温损失、最低可用温差和运行边界影响。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3 功率 容量和水位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kWhth 表示可转移多少冷热量，kWth 表示充冷、充热、放冷或放热的快慢。水位百分比是相对可用容量的展示指标，不是液位百分比，也不能单独推断可持续时长。可用时长应按剩余 kWhth 与当前热负荷 kWth 计算，并受最大放能功率限制。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4 季节切换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同一水罐在制冷季和供热季使用不同的供回水温度、机组 COP、容量和分层方向。切换不是界面换色，还需要实际系统完成水路、控制和设备适用性确认。季节切换期间的排空、清洗、水质和停机安排属于现场方案。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4 当前产品功能与操作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4 1 运行总览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运行总览把光伏和电侧信息放在左侧，把园区三维场景放在中部，把空调冷热负荷、水蓄能状态、AI 建议和告警放在右侧。顶部可切换制冷或供热以及正常、高温或寒潮、阴天和高峰电价场景；底部入口进入深度分析。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4 2 建议体验路径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打开运行总览，确认页面处于 Mock 演示模式，观察光伏 kW、电网进口 kW、建筑热负荷 kWth 和水罐水位。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在制冷和供热之间切换，核对供回水温度、容量、文案、图表和三维分层颜色同步变化。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依次切换正常、温度压力、阴天和高峰电价场景，比较负荷、充放能、购电和建议变化。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暂停回放并选择具体小时，对比夜间低谷充能、午间光伏剩余充能和高价窗口部分放能。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打开水蓄能设备详情，查看水位、可用 kWhth、充放 kWth、供回水温度、可用时长和关联告警。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进入深度分析，分别查看电功率、冷热负荷构成、水蓄能趋势、节能减碳、收益和 AI 时间轴。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4 3 当前流程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实际软件流程是“选择季节与场景 → 加载示例数据 → 推导小时快照 → 更新面板 图表 三维与告警 → 展示规则建议”。普通回放约每 5 秒推进一小时，是演示节奏，不代表真实设备每 5 秒控制一次。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状态管理为季节和场景请求设置最新请求标识。用户快速连续切换时，较早返回或较早失败的请求不会覆盖最新选择；演示重启也可使旧的过渡请求失效。此保护提高界面一致性，但不等同于现场控制的幂等、事务或安全联锁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5 三维孪生与分析工作区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1 三种工作区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工作区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适用任务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主要内容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运行总览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日常观察与现场讲解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核心指标 能源概览 三维园区 建议与告警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沉浸孪生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讲解设备关系与热量流向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扩大的三维画布 设备视角 分层水罐和动态能流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深度分析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比较趋势与追踪建议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电功率 热负荷 水蓄能 节能减碳 收益和 AI 时间轴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2 三维能力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场景覆盖楼宇、屋顶光伏、冷站或热泵、分层蓄能水罐和电网接入设备，支持总览、光伏、空调和水蓄能视角。水罐内部以两层颜色表示可用冷水或热水与回水区，制冷和供热采用不同分层方向；机组到水罐、水罐到楼宇的动态流根据充能或放能状态开启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工作区切换复用同一三维场景和业务选择；隐藏时停止渲染，恢复后继续运行。设备支持选中、高亮、详情和告警定位。单个模型加载失败或 WebGL 不可用时提供降级路径。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3 分析图表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电功率趋势只展示 kW 字段，包括光伏、总电负荷、电网进口与上网。热负荷图只展示 kWth 字段，包括建筑冷热负荷、机组直供和水罐放冷或放热。水蓄能图把充放功率放在 kWth 轴，把水位放在独立百分比轴，避免单位混淆。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4 孪生精度边界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当前模型是园区结构示意，没有证明与真实校园尺寸、管线、布水器和资产一一对应。分层高度与能流依据 Mock 快照生成，不可作为施工图、水力计算书或计量验收依据。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6 软件架构与关键实现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1 数据链路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服务层在本地 Mock 与 HTTP 读取方式之间选择；Pinia 管理季节、场景、小时、设备选择、演示和告警；Vue 组件消费同一快照；ECharts 绘制电侧与热侧趋势；Three.js 将同一业务状态映射到空间场景。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208276"/>
            <wp:docPr id="1" name="Picture 1" descr="EcoChill 前端数据与交互链路图" title="软件架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60"/>
        <w:jc w:val="center"/>
      </w:pPr>
      <w:r>
        <w:rPr>
          <w:rFonts w:ascii="Arial Unicode MS" w:hAnsi="Arial Unicode MS" w:eastAsia="Arial Unicode MS" w:hint="eastAsia"/>
          <w:color w:val="404040"/>
          <w:sz w:val="18"/>
          <w:lang w:val="zh-CN" w:eastAsia="zh-CN"/>
        </w:rPr>
        <w:t>图 1　当前前端数据与交互链路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2 技术组成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层次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当前技术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责任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页面与样式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Vue 3 TypeScript SCSS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页面组织 组件交互 响应式布局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构建与状态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Vite Pinia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开发构建 共享状态 最新请求保护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领域计算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TypeScript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显热容量 小时递推 边界与互斥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图表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ECharts 5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电功率 热负荷 蓄能 成本与减碳趋势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三维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Three.js 0.177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园区 分层水罐 热量流 拾取与动画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质量检查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Vitest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领域 Mock 与状态交互测试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3 关键文件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src/domain/thermalStorage.ts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负责显热容量、小时能量递推、充放互斥、效率、损失和可用时长。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src/mock/energyMock.ts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生成制冷或供热模式下的逐时热负荷、两类充能窗口、电热平衡和经济指标。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src/types/energy.ts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明确电侧与热侧字段单位。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src/store/dashboard.ts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组织场景、季节、回放、设备详情和并发请求保护。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ThermalStoragePanel.vue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展示水罐指标；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ThermalLoadChart.vue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和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ThermalStorageChart.vue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展示热侧趋势；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createEnergyScene.ts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构建分层水罐及热量流。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4 后端边界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仓库尚未包含生产服务端、时序数据库、真实采集控制或调度求解器。接入真实设备时，应把权威计量、预测、优化、权限、指令和回执放在可审计的服务端，前端只展示经过校验的状态与计划。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7 数据模型与接口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7 1 核心对象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对象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主要字段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当前用途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ThermalStorageMetrics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模式 状态 容量 剩余量 水位 充放功率 温度 可用时长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面板 详情 三维状态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HourlyPoint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光伏 基础负荷 机组与水泵电功率 进出口电量 热负荷 充放热量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24 小时曲线 回放与核算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LiveDashboardSnapshot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当前小时指标 设备和建议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面板 图表 三维联动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SystemNodeStatus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设备标识 kW 或 kWth 状态与说明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孪生设备详情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SystemAlert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等级 设备 指标 建议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告警筛选 定位与详情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AiDecisionOutput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建议 规则评分 预期收益 时间轴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策略解释与演示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7 2 HTTP 读取契约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接口基地址由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VITE_DASHBOARD_API_BASE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指定，默认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/api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。只有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VITE_DASHBOARD_DATA_SOURCE=api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时启用 HTTP 适配器，否则使用 Mock。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方法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路径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响应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GET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`/dashboard/scenario?mode=normal&amp;operationMode=cooling`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DashboardScenarioData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GET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`/dashboard/presentation`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PresentationChapter 数组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GET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`/dashboard/runtime`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DashboardRuntimeMeta</w:t>
            </w:r>
          </w:p>
        </w:tc>
      </w:tr>
    </w:tbl>
    <w:p>
      <w:pPr>
        <w:spacing w:after="40"/>
      </w:pP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mode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支持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normal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heatwave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cloudy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peakPricing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；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operationMode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支持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cooling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与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heating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。这些是读取约定，不代表已提供后端或控制接口。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7 3 真实数据要求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每条遥测应携带设备标识、采集时间、单位、来源和质量标记。电功率、热功率、累计电量和累计冷热量必须分开；同时统一时区、采样间隔、缺失值、异常值、设备离线和数据过期处理。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API 加载失败时，当前演示可回退到本地 Mock 并显示来源提示。真实运行不得把回退数据继续作为控制输入。前端的最新请求保护只能避免界面被旧响应覆盖，服务端仍需提供请求身份、版本、幂等和失效机制。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8 水蓄能调度逻辑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1 逐时状态递推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每个小时先根据上个小时剩余 kWhth、保温损失、充能效率和放能需求计算新的水罐状态。充能和放能互斥；接受功率受最大 kWth、剩余容量、已有能量和小时长度限制。结果被约束在零与总容量之间。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2 充能优先级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低谷电价窗口：机组使用电网供电制取冷水或热水，目标是移峰和费用优化。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白天光伏剩余窗口：先满足基础电负荷和当时机组直接供给需求，只有仍有光伏余量时才增加充能。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水罐接近目标水位、机组能力不足或预计高价窗口需求不大时，限制或停止充能。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两类充能在统计中分别解释。低谷电网充能不能计成光伏消纳；光伏充能的可再生属性还需考虑后续损失与来源追踪。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3 放能与部分供给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高价、高负荷或光伏不足窗口可安排放冷或放热。水罐放能不超过当时建筑热负荷，因此热侧始终满足“机组直供加水罐放能等于建筑负荷”。当前策略按负荷比例安排部分放能，避免默认假设机组停机。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全停条件至少包括：剩余 kWhth 足以覆盖目标时长、允许的放能 kWth 不低于负荷、泵阀与水力条件允许、供水温度可达、末端舒适度受控、机组最短停机时间满足。任一条件不满足时，机组继续承担余量。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4 目标闭环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拟落地流程为：采集并校验 → 预测光伏和冷热负荷 → 在功率、容量、舒适度和设备约束下生成计划 → 人工或服务端确认 → 下发带版本和有效期的目标 → 设备回传 → 遥测核验 → 滚动修正。早期试点宜从只读监测和人工确认开始。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9 经济与碳核算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1 有符号账单差额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电费节省采用：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电费节省 = 基线账单 - 实际账单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实际账单必须包含充冷或充热引起的机组用电、水泵及其他辅机用电。结果可以为负，负值表示调度在该口径下增加费用，不应截断为零或改写为收益。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2 电量电费与需量费用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分时电量电费按各时段 kWh 与单价计算。最大需量、容量或峰值费用按当地计费规则单独计算，不能把削峰百分比直接乘电量单价。上网收益也应单列，避免与购电减少重复计入。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3 比较基线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至少保留三类可比方案：无光伏无水蓄能、同一光伏但无水蓄能、同一光伏加水蓄能。第一组用于观察总体购电变化，第二组用于识别水蓄能的增量费用效果。三组应使用相同天气、占用、冷热负荷、价格和计量边界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4 设备节能 光伏替代和移峰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设备节能需要调整基线并比较机组和水泵实际 kWh；光伏替代比较并网点进口电量；移峰比较分时电量与最大购电功率。水蓄能有保温、换热和泵耗，总能耗可能增加，但仍可能因电价或需量降低而减少账单。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5 碳核算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碳排计算应明确区域或边际排放因子、时段、核算边界和光伏来源。低价不等于低碳，夜间电网充能后白天放能也不自动减碳。光伏先充入水罐再间接减少机组用电时，只能计一次可再生贡献。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10 AI 建议与界面表达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1 当前 AI 能力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 AI 面板使用规则生成策略标题、说明、置信度、评分、预期费用与碳结果，并以时间轴解释场景变化。它适合演示“为什么在此时充能或放能”，不代表已训练预测模型或已部署自动优化器。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2 建议应说明的内容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一条可审查建议至少应说明：当前季节与场景、光伏和电价窗口、建筑冷热负荷、水罐剩余 kWhth、可用放能 kWth、机组 COP、预期水泵代价、舒适度边界和退出条件。建议文本应区分低谷电网充能与光伏剩余充能。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3 当前界面映射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顶部显示季节、场景和核心指标；右侧水蓄能面板显示水位、可用量、充放热功率、温度与时长；设备详情关联同一小时数据；三维场景显示分层与流向；底部图表分开呈现电侧和热侧。AI 时间轴把场景选择、充放能动作和收益估算串联起来。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4 使用限制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置信度和预期效益是演示参数，不是统计验证结果。未来算法应公开目标函数、约束、预测误差和版本，记录候选方案与最终选择。现场控制必须由具备权限和安全校验的服务端执行，不应由浏览器直接驱动泵阀或机组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11 安装运行与验证状态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1 本地运行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在仓库根目录执行：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ci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run dev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默认无需外部服务即可运行 Mock 演示。切换 HTTP 读取时设置：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VITE_DASHBOARD_DATA_SOURCE=api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VITE_DASHBOARD_API_BASE=/api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Vite 前缀变量会进入前端构建，不得放入服务端密钥。生产静态部署还需配置同源代理、模型资源路径、HTTPS 和缓存策略。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2 验证命令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test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run type-check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run build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3 当前测试状态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当前自动化测试测试覆盖显热容量、充放互斥、容量边界、逐时损失与效率、电侧和热侧平衡、两类成本基线、制冷供热配置、设备详情、场景切换以及最新请求保护。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测试通过只说明当前代码满足已写断言，不代表现场冷热量计量、节能量、控制安全或工程设计已经验收。每次代码变化后都应重新运行完整测试、类型检查和构建。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4 演示检查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演示前检查字体、图表、三维模型和降级提示；依次验证季节切换、场景切换、小时回放、水罐详情、热侧图表、并发快速切换和告警定位。答辩中明确数据为 Mock，准备本地运行和录屏备份。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12 试点验证与工程边界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1 小范围试点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先确认并网点和机组计量边界、热量表位置、供回水温度与流量、楼宇分区、占用计划和时钟同步，再积累覆盖不同天气与使用强度的基线。试验期保持舒适度和服务要求可比，记录缺失、异常和人工干预。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验证顺序建议为：只读监测 → 人工确认建议 → 受限自动执行。报告应包含原始数据、剔除规则、基线模型、参数版本、账单规则、舒适度结果与不确定性。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2 现场选型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实际水罐容积和温差必须依据逐时冷热负荷、目标移峰时长、机组余量、可用场地、换热方式、管网压差、保温损失和投资测算确定。水泵、阀门、布水器、换热器、热量表和传感器应由暖通、结构、电气和自控专业共同确认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180 m³、6/13 ℃、45/35 ℃以及当前 COP 仅用于演示。项目不得据此直接采购设备、确定施工方案或承诺收益。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3 不在当前范围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不包含施工图设计、建筑结构复核、压力容器判定、泵阀选型、现场控制柜、保护与联锁、网络安全、生产后端、控制权限、调试投运和节能量保证。真实控制需要设备厂商、设计单位、施工单位与业主运维共同参与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4 阶段路线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阶段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主要交付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进入下一阶段的条件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物理一致仿真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两套账本 水罐递推 多方案对照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边界用例通过 单位与去向完整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单楼宇只读试点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点位表 网关 计量与环境记录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数据连续可追溯 计量边界一致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受限策略执行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服务端计划 人工确认 指令回执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越界可拦截 超时可回退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效果与成本验证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基线报告 舒适度与账单测算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结果可复核 风险可接受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扩展复制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多楼宇配置 权限 运维与交付包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不依赖人工改代码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13 术语与资料索引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13 1 常用术语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rPr>
          <w:cantSplit/>
          <w:tblHeader w:val="true"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术语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本项目含义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电功率 某时刻或区间平均的用电发电速率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kWh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电能 1 kW 持续 1 小时对应 1 kWh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kWth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热功率 表示供冷或供热速率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kWhth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冷热量 1 kWth 持续 1 小时对应 1 kWhth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COP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机组输出冷热量与输入电能的比值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分层水罐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依靠温度分层保存可用冷水或热水的保温水罐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部分蓄能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水罐承担部分热负荷 机组承担余量的运行方式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EMS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能源管理系统 负责计划 协调 监控和记录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HVAC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供暖 通风与空气调节系统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数字孪生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关联设备结构与状态的数字表示 当前为示意模型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Mock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为开发和演示生成的数据 不是现场测量值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13 2 当前实现索引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以下路径均相对于仓库根目录：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src/domain/thermalStorage.ts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：显热容量与逐时水蓄能递推。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src/mock/energyMock.ts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：制冷供热场景、两套平衡、充放能和经济指标。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src/types/energy.ts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：电侧与热侧字段和单位。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src/store/dashboard.ts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：场景、季节、回放、详情、告警和最新请求保护。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src/components/panels/ThermalStoragePanel.vue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：水蓄冷或蓄热面板。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src/components/charts/ThermalLoadChart.vue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与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ThermalStorageChart.vue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：热负荷与水蓄能趋势。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src/three/createEnergyScene.ts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：分层水罐、季节颜色和热量流。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src/domain/thermalStorage.test.ts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src/mock/energyMock.test.ts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与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src/store/dashboard.test.ts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：领域、数据与状态验证。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README.md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：项目概览、运行方式与边界。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13 3 交付口径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系统可演示校园光伏、空调冷热负荷、水蓄冷或蓄热和电网的协同关系，并解释部分蓄能、两类充能窗口及两套能量账本。真实节能、闭环控制、工程投运和商业收益必须按试点与验收流程形成证据后再对外确认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EcoChillFont" w:fontKey="{DB0C0146-5D98-4145-B106-E9730C417C9A}" w:subsetted="0"/>
    <w:embedBold r:id="rIdEcoChillFont" w:fontKey="{DB0C0146-5D98-4145-B106-E9730C417C9A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hint="eastAsia"/>
        <w:color w:val="404040"/>
        <w:sz w:val="17"/>
        <w:lang w:val="zh-CN" w:eastAsia="zh-CN"/>
      </w:rPr>
      <w:t xml:space="preserve">EcoChill 项目文档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7" w:lineRule="auto" w:after="120"/>
      <w:snapToGrid w:val="0"/>
    </w:pPr>
    <w:rPr>
      <w:rFonts w:ascii="Arial Unicode MS" w:hAnsi="Arial Unicode MS" w:eastAsia="Arial Unicode MS" w:cs="Arial Unicode MS" w:hint="eastAsia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504" w:lineRule="exact"/>
      <w:outlineLvl w:val="0"/>
      <w:snapToGrid w:val="0"/>
    </w:pPr>
    <w:rPr>
      <w:rFonts w:cstheme="majorBidi" w:ascii="Arial Unicode MS" w:hAnsi="Arial Unicode MS" w:eastAsia="Arial Unicode MS" w:cs="Arial Unicode MS" w:hint="eastAsia"/>
      <w:b w:val="0"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50" w:lineRule="exact"/>
      <w:outlineLvl w:val="1"/>
      <w:snapToGrid w:val="0"/>
    </w:pPr>
    <w:rPr>
      <w:rFonts w:cstheme="majorBidi" w:ascii="Arial Unicode MS" w:hAnsi="Arial Unicode MS" w:eastAsia="Arial Unicode MS" w:cs="Arial Unicode MS" w:hint="eastAsia"/>
      <w:b w:val="0"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700" w:lineRule="exact" w:before="840"/>
      <w:contextualSpacing/>
      <w:snapToGrid w:val="0"/>
      <w:jc w:val="center"/>
    </w:pPr>
    <w:rPr>
      <w:rFonts w:cstheme="majorBidi" w:ascii="Arial Unicode MS" w:hAnsi="Arial Unicode MS" w:eastAsia="Arial Unicode MS" w:cs="Arial Unicode MS" w:hint="eastAsia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36" w:lineRule="exact"/>
      <w:snapToGrid w:val="0"/>
      <w:jc w:val="center"/>
    </w:pPr>
    <w:rPr>
      <w:rFonts w:cstheme="majorBidi" w:ascii="Arial Unicode MS" w:hAnsi="Arial Unicode MS" w:eastAsia="Arial Unicode MS" w:cs="Arial Unicode MS" w:hint="eastAsia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contextualSpacing/>
    </w:pPr>
    <w:rPr>
      <w:rFonts w:ascii="Arial Unicode MS" w:hAnsi="Arial Unicode MS" w:eastAsia="Arial Unicode MS" w:cs="Arial Unicode MS" w:hint="eastAsia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contextualSpacing/>
    </w:pPr>
    <w:rPr>
      <w:rFonts w:ascii="Arial Unicode MS" w:hAnsi="Arial Unicode MS" w:eastAsia="Arial Unicode MS" w:cs="Arial Unicode MS" w:hint="eastAsia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180"/>
      <w:snapToGrid w:val="0"/>
    </w:pPr>
    <w:rPr>
      <w:rFonts w:ascii="Arial" w:hAnsi="Arial" w:eastAsia="Hiragino Sans GB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EcoChillFont" Type="http://schemas.openxmlformats.org/officeDocument/2006/relationships/font" Target="fonts/ArialUnicodeM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EcoChill 项目文档</dc:title>
  <dc:subject>校园光伏 空调冷热负荷 水蓄冷蓄热协同调度数字孪生平台</dc:subject>
  <dc:creator>EcoChill 项目组</dc:creator>
  <cp:keywords>光伏, 空调, 水蓄冷, 水蓄热, 分层水罐, 数字孪生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