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ArialUnicodeMS.odttf" ContentType="application/vnd.openxmlformats-officedocument.obfuscatedFont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keepNext/>
      </w:pPr>
      <w:r>
        <w:rPr>
          <w:rFonts w:ascii="Arial Unicode MS" w:hAnsi="Arial Unicode MS" w:eastAsia="Arial Unicode MS" w:hint="eastAsia"/>
          <w:b/>
          <w:color w:val="000000"/>
          <w:sz w:val="52"/>
          <w:lang w:val="zh-CN" w:eastAsia="zh-CN"/>
        </w:rPr>
        <w:t>EcoChill 项目文档</w:t>
      </w:r>
    </w:p>
    <w:p>
      <w:pPr>
        <w:pStyle w:val="Subtitle"/>
        <w:jc w:val="center"/>
      </w:pPr>
      <w:r>
        <w:rPr>
          <w:rFonts w:ascii="Arial Unicode MS" w:hAnsi="Arial Unicode MS" w:eastAsia="Arial Unicode MS" w:hint="eastAsia"/>
          <w:color w:val="000000"/>
          <w:sz w:val="28"/>
          <w:lang w:val="zh-CN" w:eastAsia="zh-CN"/>
        </w:rPr>
        <w:t>校园光伏 空调冷热负荷 水蓄冷蓄热协同调度数字孪生平台</w:t>
      </w:r>
    </w:p>
    <w:p>
      <w:pPr>
        <w:spacing w:after="440"/>
        <w:jc w:val="center"/>
      </w:pPr>
      <w:r>
        <w:rPr>
          <w:rFonts w:ascii="Arial Unicode MS" w:hAnsi="Arial Unicode MS" w:eastAsia="Arial Unicode MS" w:hint="eastAsia"/>
          <w:color w:val="000000"/>
          <w:sz w:val="20"/>
          <w:lang w:val="zh-CN" w:eastAsia="zh-CN"/>
        </w:rPr>
        <w:t>版本 2.0　　修订日期 2026 年 9 月 18 日</w:t>
      </w:r>
    </w:p>
    <w:p>
      <w:pPr>
        <w:pStyle w:val="Heading2"/>
      </w:pPr>
      <w:r>
        <w:rPr>
          <w:rFonts w:ascii="Arial Unicode MS" w:hAnsi="Arial Unicode MS" w:eastAsia="Arial Unicode MS" w:hint="eastAsia"/>
          <w:b w:val="0"/>
          <w:color w:val="000000"/>
          <w:sz w:val="26"/>
          <w:lang w:val="zh-CN" w:eastAsia="zh-CN"/>
        </w:rPr>
        <w:t>项目摘要</w:t>
      </w:r>
    </w:p>
    <w:p>
      <w:pPr>
        <w:spacing w:after="120" w:line="317" w:lineRule="auto"/>
        <w:ind w:firstLine="420"/>
      </w:pPr>
      <w:r>
        <w:rPr>
          <w:rFonts w:ascii="Arial Unicode MS" w:hAnsi="Arial Unicode MS" w:eastAsia="Arial Unicode MS" w:hint="eastAsia"/>
          <w:color w:val="000000"/>
          <w:sz w:val="21"/>
          <w:lang w:val="zh-CN" w:eastAsia="zh-CN"/>
        </w:rPr>
        <w:t>EcoChill 面向校园楼宇能源管理，围绕光伏发电、空调制冷与供热负荷、分层水蓄冷或蓄热、电网购电和 AI 调度建议，展示不同天气、电价和季节条件下的能源协同关系。系统把电力与冷热量分开建账，使管理人员能够判断电从哪里来、冷热量如何形成和转移，以及调度对购电峰值、电费、舒适度和碳排口径的影响。</w:t>
      </w:r>
    </w:p>
    <w:p>
      <w:pPr>
        <w:spacing w:after="120" w:line="317" w:lineRule="auto"/>
        <w:ind w:firstLine="420"/>
      </w:pPr>
      <w:r>
        <w:rPr>
          <w:rFonts w:ascii="Arial Unicode MS" w:hAnsi="Arial Unicode MS" w:eastAsia="Arial Unicode MS" w:hint="eastAsia"/>
          <w:color w:val="000000"/>
          <w:sz w:val="21"/>
          <w:lang w:val="zh-CN" w:eastAsia="zh-CN"/>
        </w:rPr>
        <w:t>当前交付成果是可运行的前端数字孪生演示原型，具备制冷与供热切换、四类场景、小时回放、三维分层水罐、设备详情、告警联动和深度分析。数据主要由本地 Mock 工厂生成，AI 建议是可解释的预设规则，尚未形成真实采集、优化求解、指令执行和效果核验闭环。</w:t>
      </w:r>
    </w:p>
    <w:p>
      <w:pPr>
        <w:pStyle w:val="Heading2"/>
      </w:pPr>
      <w:r>
        <w:rPr>
          <w:rFonts w:ascii="Arial Unicode MS" w:hAnsi="Arial Unicode MS" w:eastAsia="Arial Unicode MS" w:hint="eastAsia"/>
          <w:b w:val="0"/>
          <w:color w:val="000000"/>
          <w:sz w:val="26"/>
          <w:lang w:val="zh-CN" w:eastAsia="zh-CN"/>
        </w:rPr>
        <w:t>文档使用范围</w:t>
      </w:r>
    </w:p>
    <w:p>
      <w:pPr>
        <w:spacing w:after="120" w:line="317" w:lineRule="auto"/>
        <w:ind w:firstLine="420"/>
      </w:pPr>
      <w:r>
        <w:rPr>
          <w:rFonts w:ascii="Arial Unicode MS" w:hAnsi="Arial Unicode MS" w:eastAsia="Arial Unicode MS" w:hint="eastAsia"/>
          <w:color w:val="000000"/>
          <w:sz w:val="21"/>
          <w:lang w:val="zh-CN" w:eastAsia="zh-CN"/>
        </w:rPr>
        <w:t>本文用于项目说明、团队交接、技术评审与试点规划，覆盖业务定位、设备构成、能量平衡、软件实现、指标口径、测试状态和落地边界。文中的 180 m³ 水罐与温度参数均为 Mock 演示配置，不是工程选型、采购建议或已安装设备证明。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</w:tblPr>
      <w:tblGrid>
        <w:gridCol w:w="4986"/>
        <w:gridCol w:w="4986"/>
      </w:tblGrid>
      <w:tr>
        <w:trPr>
          <w:cantSplit/>
          <w:tblHeader w:val="true"/>
        </w:trPr>
        <w:tc>
          <w:tcPr>
            <w:tcW w:type="dxa" w:w="4986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DCE6F1"/>
          </w:tcPr>
          <w:p>
            <w:pPr>
              <w:spacing w:after="0" w:line="269" w:lineRule="auto"/>
              <w:jc w:val="center"/>
            </w:pPr>
            <w:r>
              <w:rPr>
                <w:rFonts w:ascii="Arial Unicode MS" w:hAnsi="Arial Unicode MS" w:eastAsia="Arial Unicode MS" w:hint="eastAsia"/>
                <w:b/>
                <w:color w:val="000000"/>
                <w:sz w:val="18"/>
                <w:lang w:val="zh-CN" w:eastAsia="zh-CN"/>
              </w:rPr>
              <w:t>项目项</w:t>
            </w:r>
          </w:p>
        </w:tc>
        <w:tc>
          <w:tcPr>
            <w:tcW w:type="dxa" w:w="4986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DCE6F1"/>
          </w:tcPr>
          <w:p>
            <w:pPr>
              <w:spacing w:after="0" w:line="269" w:lineRule="auto"/>
              <w:jc w:val="center"/>
            </w:pPr>
            <w:r>
              <w:rPr>
                <w:rFonts w:ascii="Arial Unicode MS" w:hAnsi="Arial Unicode MS" w:eastAsia="Arial Unicode MS" w:hint="eastAsia"/>
                <w:b/>
                <w:color w:val="000000"/>
                <w:sz w:val="18"/>
                <w:lang w:val="zh-CN" w:eastAsia="zh-CN"/>
              </w:rPr>
              <w:t>当前口径</w:t>
            </w:r>
          </w:p>
        </w:tc>
      </w:tr>
      <w:tr>
        <w:trPr>
          <w:cantSplit/>
        </w:trPr>
        <w:tc>
          <w:tcPr>
            <w:tcW w:type="dxa" w:w="4986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FFFFFF"/>
          </w:tcPr>
          <w:p>
            <w:pPr>
              <w:spacing w:after="0" w:line="269" w:lineRule="auto"/>
              <w:jc w:val="left"/>
            </w:pPr>
            <w:r>
              <w:rPr>
                <w:rFonts w:ascii="Arial Unicode MS" w:hAnsi="Arial Unicode MS" w:eastAsia="Arial Unicode MS" w:hint="eastAsia"/>
                <w:b w:val="0"/>
                <w:color w:val="000000"/>
                <w:sz w:val="18"/>
                <w:lang w:val="zh-CN" w:eastAsia="zh-CN"/>
              </w:rPr>
              <w:t>主要用户</w:t>
            </w:r>
          </w:p>
        </w:tc>
        <w:tc>
          <w:tcPr>
            <w:tcW w:type="dxa" w:w="4986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FFFFFF"/>
          </w:tcPr>
          <w:p>
            <w:pPr>
              <w:spacing w:after="0" w:line="269" w:lineRule="auto"/>
              <w:jc w:val="left"/>
            </w:pPr>
            <w:r>
              <w:rPr>
                <w:rFonts w:ascii="Arial Unicode MS" w:hAnsi="Arial Unicode MS" w:eastAsia="Arial Unicode MS" w:hint="eastAsia"/>
                <w:b w:val="0"/>
                <w:color w:val="000000"/>
                <w:sz w:val="18"/>
                <w:lang w:val="zh-CN" w:eastAsia="zh-CN"/>
              </w:rPr>
              <w:t>校园后勤 楼宇运维 能源管理人员 项目评审人员</w:t>
            </w:r>
          </w:p>
        </w:tc>
      </w:tr>
      <w:tr>
        <w:trPr>
          <w:cantSplit/>
        </w:trPr>
        <w:tc>
          <w:tcPr>
            <w:tcW w:type="dxa" w:w="4986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F7F9FB"/>
          </w:tcPr>
          <w:p>
            <w:pPr>
              <w:spacing w:after="0" w:line="269" w:lineRule="auto"/>
              <w:jc w:val="left"/>
            </w:pPr>
            <w:r>
              <w:rPr>
                <w:rFonts w:ascii="Arial Unicode MS" w:hAnsi="Arial Unicode MS" w:eastAsia="Arial Unicode MS" w:hint="eastAsia"/>
                <w:b w:val="0"/>
                <w:color w:val="000000"/>
                <w:sz w:val="18"/>
                <w:lang w:val="zh-CN" w:eastAsia="zh-CN"/>
              </w:rPr>
              <w:t>当前成熟度</w:t>
            </w:r>
          </w:p>
        </w:tc>
        <w:tc>
          <w:tcPr>
            <w:tcW w:type="dxa" w:w="4986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F7F9FB"/>
          </w:tcPr>
          <w:p>
            <w:pPr>
              <w:spacing w:after="0" w:line="269" w:lineRule="auto"/>
              <w:jc w:val="left"/>
            </w:pPr>
            <w:r>
              <w:rPr>
                <w:rFonts w:ascii="Arial Unicode MS" w:hAnsi="Arial Unicode MS" w:eastAsia="Arial Unicode MS" w:hint="eastAsia"/>
                <w:b w:val="0"/>
                <w:color w:val="000000"/>
                <w:sz w:val="18"/>
                <w:lang w:val="zh-CN" w:eastAsia="zh-CN"/>
              </w:rPr>
              <w:t>前端可视化与交互演示原型</w:t>
            </w:r>
          </w:p>
        </w:tc>
      </w:tr>
      <w:tr>
        <w:trPr>
          <w:cantSplit/>
        </w:trPr>
        <w:tc>
          <w:tcPr>
            <w:tcW w:type="dxa" w:w="4986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FFFFFF"/>
          </w:tcPr>
          <w:p>
            <w:pPr>
              <w:spacing w:after="0" w:line="269" w:lineRule="auto"/>
              <w:jc w:val="left"/>
            </w:pPr>
            <w:r>
              <w:rPr>
                <w:rFonts w:ascii="Arial Unicode MS" w:hAnsi="Arial Unicode MS" w:eastAsia="Arial Unicode MS" w:hint="eastAsia"/>
                <w:b w:val="0"/>
                <w:color w:val="000000"/>
                <w:sz w:val="18"/>
                <w:lang w:val="zh-CN" w:eastAsia="zh-CN"/>
              </w:rPr>
              <w:t>当前数据</w:t>
            </w:r>
          </w:p>
        </w:tc>
        <w:tc>
          <w:tcPr>
            <w:tcW w:type="dxa" w:w="4986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FFFFFF"/>
          </w:tcPr>
          <w:p>
            <w:pPr>
              <w:spacing w:after="0" w:line="269" w:lineRule="auto"/>
              <w:jc w:val="left"/>
            </w:pPr>
            <w:r>
              <w:rPr>
                <w:rFonts w:ascii="Arial Unicode MS" w:hAnsi="Arial Unicode MS" w:eastAsia="Arial Unicode MS" w:hint="eastAsia"/>
                <w:b w:val="0"/>
                <w:color w:val="000000"/>
                <w:sz w:val="18"/>
                <w:lang w:val="zh-CN" w:eastAsia="zh-CN"/>
              </w:rPr>
              <w:t>本地 Mock 为主 预留 HTTP 读取适配层</w:t>
            </w:r>
          </w:p>
        </w:tc>
      </w:tr>
      <w:tr>
        <w:trPr>
          <w:cantSplit/>
        </w:trPr>
        <w:tc>
          <w:tcPr>
            <w:tcW w:type="dxa" w:w="4986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F7F9FB"/>
          </w:tcPr>
          <w:p>
            <w:pPr>
              <w:spacing w:after="0" w:line="269" w:lineRule="auto"/>
              <w:jc w:val="left"/>
            </w:pPr>
            <w:r>
              <w:rPr>
                <w:rFonts w:ascii="Arial Unicode MS" w:hAnsi="Arial Unicode MS" w:eastAsia="Arial Unicode MS" w:hint="eastAsia"/>
                <w:b w:val="0"/>
                <w:color w:val="000000"/>
                <w:sz w:val="18"/>
                <w:lang w:val="zh-CN" w:eastAsia="zh-CN"/>
              </w:rPr>
              <w:t>蓄能介质</w:t>
            </w:r>
          </w:p>
        </w:tc>
        <w:tc>
          <w:tcPr>
            <w:tcW w:type="dxa" w:w="4986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F7F9FB"/>
          </w:tcPr>
          <w:p>
            <w:pPr>
              <w:spacing w:after="0" w:line="269" w:lineRule="auto"/>
              <w:jc w:val="left"/>
            </w:pPr>
            <w:r>
              <w:rPr>
                <w:rFonts w:ascii="Arial Unicode MS" w:hAnsi="Arial Unicode MS" w:eastAsia="Arial Unicode MS" w:hint="eastAsia"/>
                <w:b w:val="0"/>
                <w:color w:val="000000"/>
                <w:sz w:val="18"/>
                <w:lang w:val="zh-CN" w:eastAsia="zh-CN"/>
              </w:rPr>
              <w:t>分层保温水罐中的冷水或热水</w:t>
            </w:r>
          </w:p>
        </w:tc>
      </w:tr>
      <w:tr>
        <w:trPr>
          <w:cantSplit/>
        </w:trPr>
        <w:tc>
          <w:tcPr>
            <w:tcW w:type="dxa" w:w="4986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FFFFFF"/>
          </w:tcPr>
          <w:p>
            <w:pPr>
              <w:spacing w:after="0" w:line="269" w:lineRule="auto"/>
              <w:jc w:val="left"/>
            </w:pPr>
            <w:r>
              <w:rPr>
                <w:rFonts w:ascii="Arial Unicode MS" w:hAnsi="Arial Unicode MS" w:eastAsia="Arial Unicode MS" w:hint="eastAsia"/>
                <w:b w:val="0"/>
                <w:color w:val="000000"/>
                <w:sz w:val="18"/>
                <w:lang w:val="zh-CN" w:eastAsia="zh-CN"/>
              </w:rPr>
              <w:t>效益状态</w:t>
            </w:r>
          </w:p>
        </w:tc>
        <w:tc>
          <w:tcPr>
            <w:tcW w:type="dxa" w:w="4986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FFFFFF"/>
          </w:tcPr>
          <w:p>
            <w:pPr>
              <w:spacing w:after="0" w:line="269" w:lineRule="auto"/>
              <w:jc w:val="left"/>
            </w:pPr>
            <w:r>
              <w:rPr>
                <w:rFonts w:ascii="Arial Unicode MS" w:hAnsi="Arial Unicode MS" w:eastAsia="Arial Unicode MS" w:hint="eastAsia"/>
                <w:b w:val="0"/>
                <w:color w:val="000000"/>
                <w:sz w:val="18"/>
                <w:lang w:val="zh-CN" w:eastAsia="zh-CN"/>
              </w:rPr>
              <w:t>页面收益 节能和减碳数据属于演示估算</w:t>
            </w:r>
          </w:p>
        </w:tc>
      </w:tr>
    </w:tbl>
    <w:p>
      <w:pPr>
        <w:spacing w:after="40"/>
      </w:pPr>
    </w:p>
    <w:p>
      <w:pPr>
        <w:pStyle w:val="Heading1"/>
        <w:keepNext/>
      </w:pPr>
      <w:r>
        <w:rPr>
          <w:rFonts w:ascii="Arial Unicode MS" w:hAnsi="Arial Unicode MS" w:eastAsia="Arial Unicode MS" w:hint="eastAsia"/>
          <w:b w:val="0"/>
          <w:color w:val="000000"/>
          <w:sz w:val="36"/>
          <w:lang w:val="zh-CN" w:eastAsia="zh-CN"/>
        </w:rPr>
        <w:t>1 项目定位与业务边界</w:t>
      </w:r>
    </w:p>
    <w:p>
      <w:pPr>
        <w:pStyle w:val="Heading2"/>
      </w:pPr>
      <w:r>
        <w:rPr>
          <w:rFonts w:ascii="Arial Unicode MS" w:hAnsi="Arial Unicode MS" w:eastAsia="Arial Unicode MS" w:hint="eastAsia"/>
          <w:b w:val="0"/>
          <w:color w:val="000000"/>
          <w:sz w:val="26"/>
          <w:lang w:val="zh-CN" w:eastAsia="zh-CN"/>
        </w:rPr>
        <w:t>1 1 业务定位</w:t>
      </w:r>
    </w:p>
    <w:p>
      <w:pPr>
        <w:spacing w:after="120" w:line="317" w:lineRule="auto"/>
        <w:ind w:firstLine="420"/>
      </w:pPr>
      <w:r>
        <w:rPr>
          <w:rFonts w:ascii="Arial Unicode MS" w:hAnsi="Arial Unicode MS" w:eastAsia="Arial Unicode MS" w:hint="eastAsia"/>
          <w:color w:val="000000"/>
          <w:sz w:val="21"/>
          <w:lang w:val="zh-CN" w:eastAsia="zh-CN"/>
        </w:rPr>
        <w:t>项目协调四类对象：随天气变化的光伏电源、建筑制冷或供热需求、冷水机组或热泵、水蓄冷或蓄热系统。电网为电力缺口兜底；分层水罐跨时段转移的是冷热量，不是电力。系统通过统一场景、逐时数据、图表和三维孪生说明调度选择及其约束。</w:t>
      </w:r>
    </w:p>
    <w:p>
      <w:pPr>
        <w:spacing w:after="120" w:line="317" w:lineRule="auto"/>
        <w:ind w:firstLine="420"/>
      </w:pPr>
      <w:r>
        <w:rPr>
          <w:rFonts w:ascii="Arial Unicode MS" w:hAnsi="Arial Unicode MS" w:eastAsia="Arial Unicode MS" w:hint="eastAsia"/>
          <w:color w:val="000000"/>
          <w:sz w:val="21"/>
          <w:lang w:val="zh-CN" w:eastAsia="zh-CN"/>
        </w:rPr>
        <w:t>产品面向校园楼宇和类似园区。首个试点宜选择一个计量边界清楚、末端可观测、运行计划明确的教学楼、图书馆或行政楼。实验室、机房等有特殊温湿度要求的区域必须设置独立约束，不能直接套用普通教室策略。</w:t>
      </w:r>
    </w:p>
    <w:p>
      <w:pPr>
        <w:pStyle w:val="Heading2"/>
      </w:pPr>
      <w:r>
        <w:rPr>
          <w:rFonts w:ascii="Arial Unicode MS" w:hAnsi="Arial Unicode MS" w:eastAsia="Arial Unicode MS" w:hint="eastAsia"/>
          <w:b w:val="0"/>
          <w:color w:val="000000"/>
          <w:sz w:val="26"/>
          <w:lang w:val="zh-CN" w:eastAsia="zh-CN"/>
        </w:rPr>
        <w:t>1 2 需要解决的问题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</w:tblPr>
      <w:tblGrid>
        <w:gridCol w:w="3324"/>
        <w:gridCol w:w="3324"/>
        <w:gridCol w:w="3324"/>
      </w:tblGrid>
      <w:tr>
        <w:trPr>
          <w:cantSplit/>
          <w:tblHeader w:val="true"/>
        </w:trPr>
        <w:tc>
          <w:tcPr>
            <w:tcW w:type="dxa" w:w="3324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DCE6F1"/>
          </w:tcPr>
          <w:p>
            <w:pPr>
              <w:spacing w:after="0" w:line="269" w:lineRule="auto"/>
              <w:jc w:val="center"/>
            </w:pPr>
            <w:r>
              <w:rPr>
                <w:rFonts w:ascii="Arial Unicode MS" w:hAnsi="Arial Unicode MS" w:eastAsia="Arial Unicode MS" w:hint="eastAsia"/>
                <w:b/>
                <w:color w:val="000000"/>
                <w:sz w:val="18"/>
                <w:lang w:val="zh-CN" w:eastAsia="zh-CN"/>
              </w:rPr>
              <w:t>现场问题</w:t>
            </w:r>
          </w:p>
        </w:tc>
        <w:tc>
          <w:tcPr>
            <w:tcW w:type="dxa" w:w="3324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DCE6F1"/>
          </w:tcPr>
          <w:p>
            <w:pPr>
              <w:spacing w:after="0" w:line="269" w:lineRule="auto"/>
              <w:jc w:val="center"/>
            </w:pPr>
            <w:r>
              <w:rPr>
                <w:rFonts w:ascii="Arial Unicode MS" w:hAnsi="Arial Unicode MS" w:eastAsia="Arial Unicode MS" w:hint="eastAsia"/>
                <w:b/>
                <w:color w:val="000000"/>
                <w:sz w:val="18"/>
                <w:lang w:val="zh-CN" w:eastAsia="zh-CN"/>
              </w:rPr>
              <w:t>系统方式</w:t>
            </w:r>
          </w:p>
        </w:tc>
        <w:tc>
          <w:tcPr>
            <w:tcW w:type="dxa" w:w="3324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DCE6F1"/>
          </w:tcPr>
          <w:p>
            <w:pPr>
              <w:spacing w:after="0" w:line="269" w:lineRule="auto"/>
              <w:jc w:val="center"/>
            </w:pPr>
            <w:r>
              <w:rPr>
                <w:rFonts w:ascii="Arial Unicode MS" w:hAnsi="Arial Unicode MS" w:eastAsia="Arial Unicode MS" w:hint="eastAsia"/>
                <w:b/>
                <w:color w:val="000000"/>
                <w:sz w:val="18"/>
                <w:lang w:val="zh-CN" w:eastAsia="zh-CN"/>
              </w:rPr>
              <w:t>应验证的结果</w:t>
            </w:r>
          </w:p>
        </w:tc>
      </w:tr>
      <w:tr>
        <w:trPr>
          <w:cantSplit/>
        </w:trPr>
        <w:tc>
          <w:tcPr>
            <w:tcW w:type="dxa" w:w="3324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FFFFFF"/>
          </w:tcPr>
          <w:p>
            <w:pPr>
              <w:spacing w:after="0" w:line="269" w:lineRule="auto"/>
              <w:jc w:val="left"/>
            </w:pPr>
            <w:r>
              <w:rPr>
                <w:rFonts w:ascii="Arial Unicode MS" w:hAnsi="Arial Unicode MS" w:eastAsia="Arial Unicode MS" w:hint="eastAsia"/>
                <w:b w:val="0"/>
                <w:color w:val="000000"/>
                <w:sz w:val="18"/>
                <w:lang w:val="zh-CN" w:eastAsia="zh-CN"/>
              </w:rPr>
              <w:t>光伏高出力与冷热需求错位</w:t>
            </w:r>
          </w:p>
        </w:tc>
        <w:tc>
          <w:tcPr>
            <w:tcW w:type="dxa" w:w="3324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FFFFFF"/>
          </w:tcPr>
          <w:p>
            <w:pPr>
              <w:spacing w:after="0" w:line="269" w:lineRule="auto"/>
              <w:jc w:val="left"/>
            </w:pPr>
            <w:r>
              <w:rPr>
                <w:rFonts w:ascii="Arial Unicode MS" w:hAnsi="Arial Unicode MS" w:eastAsia="Arial Unicode MS" w:hint="eastAsia"/>
                <w:b w:val="0"/>
                <w:color w:val="000000"/>
                <w:sz w:val="18"/>
                <w:lang w:val="zh-CN" w:eastAsia="zh-CN"/>
              </w:rPr>
              <w:t>在光伏剩余窗口制取并储存冷水或热水</w:t>
            </w:r>
          </w:p>
        </w:tc>
        <w:tc>
          <w:tcPr>
            <w:tcW w:type="dxa" w:w="3324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FFFFFF"/>
          </w:tcPr>
          <w:p>
            <w:pPr>
              <w:spacing w:after="0" w:line="269" w:lineRule="auto"/>
              <w:jc w:val="left"/>
            </w:pPr>
            <w:r>
              <w:rPr>
                <w:rFonts w:ascii="Arial Unicode MS" w:hAnsi="Arial Unicode MS" w:eastAsia="Arial Unicode MS" w:hint="eastAsia"/>
                <w:b w:val="0"/>
                <w:color w:val="000000"/>
                <w:sz w:val="18"/>
                <w:lang w:val="zh-CN" w:eastAsia="zh-CN"/>
              </w:rPr>
              <w:t>光伏自用量 上网量与机组耗电变化</w:t>
            </w:r>
          </w:p>
        </w:tc>
      </w:tr>
      <w:tr>
        <w:trPr>
          <w:cantSplit/>
        </w:trPr>
        <w:tc>
          <w:tcPr>
            <w:tcW w:type="dxa" w:w="3324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F7F9FB"/>
          </w:tcPr>
          <w:p>
            <w:pPr>
              <w:spacing w:after="0" w:line="269" w:lineRule="auto"/>
              <w:jc w:val="left"/>
            </w:pPr>
            <w:r>
              <w:rPr>
                <w:rFonts w:ascii="Arial Unicode MS" w:hAnsi="Arial Unicode MS" w:eastAsia="Arial Unicode MS" w:hint="eastAsia"/>
                <w:b w:val="0"/>
                <w:color w:val="000000"/>
                <w:sz w:val="18"/>
                <w:lang w:val="zh-CN" w:eastAsia="zh-CN"/>
              </w:rPr>
              <w:t>夜间低价与白天高价差异</w:t>
            </w:r>
          </w:p>
        </w:tc>
        <w:tc>
          <w:tcPr>
            <w:tcW w:type="dxa" w:w="3324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F7F9FB"/>
          </w:tcPr>
          <w:p>
            <w:pPr>
              <w:spacing w:after="0" w:line="269" w:lineRule="auto"/>
              <w:jc w:val="left"/>
            </w:pPr>
            <w:r>
              <w:rPr>
                <w:rFonts w:ascii="Arial Unicode MS" w:hAnsi="Arial Unicode MS" w:eastAsia="Arial Unicode MS" w:hint="eastAsia"/>
                <w:b w:val="0"/>
                <w:color w:val="000000"/>
                <w:sz w:val="18"/>
                <w:lang w:val="zh-CN" w:eastAsia="zh-CN"/>
              </w:rPr>
              <w:t>在低谷窗口充能 高价窗口部分放能</w:t>
            </w:r>
          </w:p>
        </w:tc>
        <w:tc>
          <w:tcPr>
            <w:tcW w:type="dxa" w:w="3324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F7F9FB"/>
          </w:tcPr>
          <w:p>
            <w:pPr>
              <w:spacing w:after="0" w:line="269" w:lineRule="auto"/>
              <w:jc w:val="left"/>
            </w:pPr>
            <w:r>
              <w:rPr>
                <w:rFonts w:ascii="Arial Unicode MS" w:hAnsi="Arial Unicode MS" w:eastAsia="Arial Unicode MS" w:hint="eastAsia"/>
                <w:b w:val="0"/>
                <w:color w:val="000000"/>
                <w:sz w:val="18"/>
                <w:lang w:val="zh-CN" w:eastAsia="zh-CN"/>
              </w:rPr>
              <w:t>分时购电费用与购电峰值变化</w:t>
            </w:r>
          </w:p>
        </w:tc>
      </w:tr>
      <w:tr>
        <w:trPr>
          <w:cantSplit/>
        </w:trPr>
        <w:tc>
          <w:tcPr>
            <w:tcW w:type="dxa" w:w="3324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FFFFFF"/>
          </w:tcPr>
          <w:p>
            <w:pPr>
              <w:spacing w:after="0" w:line="269" w:lineRule="auto"/>
              <w:jc w:val="left"/>
            </w:pPr>
            <w:r>
              <w:rPr>
                <w:rFonts w:ascii="Arial Unicode MS" w:hAnsi="Arial Unicode MS" w:eastAsia="Arial Unicode MS" w:hint="eastAsia"/>
                <w:b w:val="0"/>
                <w:color w:val="000000"/>
                <w:sz w:val="18"/>
                <w:lang w:val="zh-CN" w:eastAsia="zh-CN"/>
              </w:rPr>
              <w:t>冷热源与末端信息分散</w:t>
            </w:r>
          </w:p>
        </w:tc>
        <w:tc>
          <w:tcPr>
            <w:tcW w:type="dxa" w:w="3324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FFFFFF"/>
          </w:tcPr>
          <w:p>
            <w:pPr>
              <w:spacing w:after="0" w:line="269" w:lineRule="auto"/>
              <w:jc w:val="left"/>
            </w:pPr>
            <w:r>
              <w:rPr>
                <w:rFonts w:ascii="Arial Unicode MS" w:hAnsi="Arial Unicode MS" w:eastAsia="Arial Unicode MS" w:hint="eastAsia"/>
                <w:b w:val="0"/>
                <w:color w:val="000000"/>
                <w:sz w:val="18"/>
                <w:lang w:val="zh-CN" w:eastAsia="zh-CN"/>
              </w:rPr>
              <w:t>汇总电表 热量表 温度 流量 水位和设备状态</w:t>
            </w:r>
          </w:p>
        </w:tc>
        <w:tc>
          <w:tcPr>
            <w:tcW w:type="dxa" w:w="3324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FFFFFF"/>
          </w:tcPr>
          <w:p>
            <w:pPr>
              <w:spacing w:after="0" w:line="269" w:lineRule="auto"/>
              <w:jc w:val="left"/>
            </w:pPr>
            <w:r>
              <w:rPr>
                <w:rFonts w:ascii="Arial Unicode MS" w:hAnsi="Arial Unicode MS" w:eastAsia="Arial Unicode MS" w:hint="eastAsia"/>
                <w:b w:val="0"/>
                <w:color w:val="000000"/>
                <w:sz w:val="18"/>
                <w:lang w:val="zh-CN" w:eastAsia="zh-CN"/>
              </w:rPr>
              <w:t>数据可追踪 异常定位效率提升</w:t>
            </w:r>
          </w:p>
        </w:tc>
      </w:tr>
      <w:tr>
        <w:trPr>
          <w:cantSplit/>
        </w:trPr>
        <w:tc>
          <w:tcPr>
            <w:tcW w:type="dxa" w:w="3324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F7F9FB"/>
          </w:tcPr>
          <w:p>
            <w:pPr>
              <w:spacing w:after="0" w:line="269" w:lineRule="auto"/>
              <w:jc w:val="left"/>
            </w:pPr>
            <w:r>
              <w:rPr>
                <w:rFonts w:ascii="Arial Unicode MS" w:hAnsi="Arial Unicode MS" w:eastAsia="Arial Unicode MS" w:hint="eastAsia"/>
                <w:b w:val="0"/>
                <w:color w:val="000000"/>
                <w:sz w:val="18"/>
                <w:lang w:val="zh-CN" w:eastAsia="zh-CN"/>
              </w:rPr>
              <w:t>策略效果缺少可信反馈</w:t>
            </w:r>
          </w:p>
        </w:tc>
        <w:tc>
          <w:tcPr>
            <w:tcW w:type="dxa" w:w="3324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F7F9FB"/>
          </w:tcPr>
          <w:p>
            <w:pPr>
              <w:spacing w:after="0" w:line="269" w:lineRule="auto"/>
              <w:jc w:val="left"/>
            </w:pPr>
            <w:r>
              <w:rPr>
                <w:rFonts w:ascii="Arial Unicode MS" w:hAnsi="Arial Unicode MS" w:eastAsia="Arial Unicode MS" w:hint="eastAsia"/>
                <w:b w:val="0"/>
                <w:color w:val="000000"/>
                <w:sz w:val="18"/>
                <w:lang w:val="zh-CN" w:eastAsia="zh-CN"/>
              </w:rPr>
              <w:t>采用同边界基线核算电量 费用 舒适度与碳</w:t>
            </w:r>
          </w:p>
        </w:tc>
        <w:tc>
          <w:tcPr>
            <w:tcW w:type="dxa" w:w="3324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F7F9FB"/>
          </w:tcPr>
          <w:p>
            <w:pPr>
              <w:spacing w:after="0" w:line="269" w:lineRule="auto"/>
              <w:jc w:val="left"/>
            </w:pPr>
            <w:r>
              <w:rPr>
                <w:rFonts w:ascii="Arial Unicode MS" w:hAnsi="Arial Unicode MS" w:eastAsia="Arial Unicode MS" w:hint="eastAsia"/>
                <w:b w:val="0"/>
                <w:color w:val="000000"/>
                <w:sz w:val="18"/>
                <w:lang w:val="zh-CN" w:eastAsia="zh-CN"/>
              </w:rPr>
              <w:t>可复核的验证报告</w:t>
            </w:r>
          </w:p>
        </w:tc>
      </w:tr>
    </w:tbl>
    <w:p>
      <w:pPr>
        <w:spacing w:after="40"/>
      </w:pPr>
    </w:p>
    <w:p>
      <w:pPr>
        <w:pStyle w:val="Heading2"/>
      </w:pPr>
      <w:r>
        <w:rPr>
          <w:rFonts w:ascii="Arial Unicode MS" w:hAnsi="Arial Unicode MS" w:eastAsia="Arial Unicode MS" w:hint="eastAsia"/>
          <w:b w:val="0"/>
          <w:color w:val="000000"/>
          <w:sz w:val="26"/>
          <w:lang w:val="zh-CN" w:eastAsia="zh-CN"/>
        </w:rPr>
        <w:t>1 3 五类效益必须分开</w:t>
      </w:r>
    </w:p>
    <w:p>
      <w:pPr>
        <w:spacing w:after="120" w:line="317" w:lineRule="auto"/>
        <w:ind w:firstLine="420"/>
      </w:pPr>
      <w:r>
        <w:rPr>
          <w:rFonts w:ascii="Arial Unicode MS" w:hAnsi="Arial Unicode MS" w:eastAsia="Arial Unicode MS" w:hint="eastAsia"/>
          <w:color w:val="000000"/>
          <w:sz w:val="21"/>
          <w:lang w:val="zh-CN" w:eastAsia="zh-CN"/>
        </w:rPr>
        <w:t>设备实际节能，是在可比天气、占用和舒适度下，机组与水泵实际耗电相对调整基线下降。光伏替代，是自产电减少外购电，不等于空调耗电下降。负荷移峰，是把机组用电转移到其他时段，可能降低需量或电费，但总电量可能持平或因蓄能损失而增加。</w:t>
      </w:r>
    </w:p>
    <w:p>
      <w:pPr>
        <w:spacing w:after="120" w:line="317" w:lineRule="auto"/>
        <w:ind w:firstLine="420"/>
      </w:pPr>
      <w:r>
        <w:rPr>
          <w:rFonts w:ascii="Arial Unicode MS" w:hAnsi="Arial Unicode MS" w:eastAsia="Arial Unicode MS" w:hint="eastAsia"/>
          <w:color w:val="000000"/>
          <w:sz w:val="21"/>
          <w:lang w:val="zh-CN" w:eastAsia="zh-CN"/>
        </w:rPr>
        <w:t>电费下降必须按同一计费规则计算基线账单减实际账单；碳减排还要说明排放因子、时段和光伏来源。任何一项都不能由单一节能率替代。</w:t>
      </w:r>
    </w:p>
    <w:p>
      <w:pPr>
        <w:pStyle w:val="Heading2"/>
      </w:pPr>
      <w:r>
        <w:rPr>
          <w:rFonts w:ascii="Arial Unicode MS" w:hAnsi="Arial Unicode MS" w:eastAsia="Arial Unicode MS" w:hint="eastAsia"/>
          <w:b w:val="0"/>
          <w:color w:val="000000"/>
          <w:sz w:val="26"/>
          <w:lang w:val="zh-CN" w:eastAsia="zh-CN"/>
        </w:rPr>
        <w:t>1 4 当前边界</w:t>
      </w:r>
    </w:p>
    <w:p>
      <w:pPr>
        <w:spacing w:after="120" w:line="317" w:lineRule="auto"/>
        <w:ind w:firstLine="420"/>
      </w:pPr>
      <w:r>
        <w:rPr>
          <w:rFonts w:ascii="Arial Unicode MS" w:hAnsi="Arial Unicode MS" w:eastAsia="Arial Unicode MS" w:hint="eastAsia"/>
          <w:color w:val="000000"/>
          <w:sz w:val="21"/>
          <w:lang w:val="zh-CN" w:eastAsia="zh-CN"/>
        </w:rPr>
        <w:t>当前可交付的是数字孪生演示软件、场景与数据模型、交互分析界面及运行资料。真实项目仍需现场点位、网关、服务端、权限审计、控制反馈、设备联锁和效果验证。本仓库不包含施工图、现场自动控制程序或节能量保证。</w:t>
      </w:r>
    </w:p>
    <w:p>
      <w:pPr>
        <w:pStyle w:val="Heading1"/>
        <w:keepNext/>
      </w:pPr>
      <w:r>
        <w:rPr>
          <w:rFonts w:ascii="Arial Unicode MS" w:hAnsi="Arial Unicode MS" w:eastAsia="Arial Unicode MS" w:hint="eastAsia"/>
          <w:b w:val="0"/>
          <w:color w:val="000000"/>
          <w:sz w:val="36"/>
          <w:lang w:val="zh-CN" w:eastAsia="zh-CN"/>
        </w:rPr>
        <w:t>2 电力与冷热量的两套账本</w:t>
      </w:r>
    </w:p>
    <w:p>
      <w:pPr>
        <w:pStyle w:val="Heading2"/>
      </w:pPr>
      <w:r>
        <w:rPr>
          <w:rFonts w:ascii="Arial Unicode MS" w:hAnsi="Arial Unicode MS" w:eastAsia="Arial Unicode MS" w:hint="eastAsia"/>
          <w:b w:val="0"/>
          <w:color w:val="000000"/>
          <w:sz w:val="26"/>
          <w:lang w:val="zh-CN" w:eastAsia="zh-CN"/>
        </w:rPr>
        <w:t>2 1 单位与计量边界</w:t>
      </w:r>
    </w:p>
    <w:p>
      <w:pPr>
        <w:spacing w:after="120" w:line="317" w:lineRule="auto"/>
        <w:ind w:firstLine="420"/>
      </w:pPr>
      <w:r>
        <w:rPr>
          <w:rFonts w:ascii="Arial Unicode MS" w:hAnsi="Arial Unicode MS" w:eastAsia="Arial Unicode MS" w:hint="eastAsia"/>
          <w:color w:val="000000"/>
          <w:sz w:val="21"/>
          <w:lang w:val="zh-CN" w:eastAsia="zh-CN"/>
        </w:rPr>
        <w:t>电侧功率和电量分别使用 kW 与 kWh；热侧功率和冷热量分别使用 kWth 与 kWhth。两套单位不能相加。光伏和电网描述电力来源，建筑冷热负荷、机组直供和水罐放能描述热力供需。</w:t>
      </w:r>
    </w:p>
    <w:p>
      <w:pPr>
        <w:pStyle w:val="Heading2"/>
      </w:pPr>
      <w:r>
        <w:rPr>
          <w:rFonts w:ascii="Arial Unicode MS" w:hAnsi="Arial Unicode MS" w:eastAsia="Arial Unicode MS" w:hint="eastAsia"/>
          <w:b w:val="0"/>
          <w:color w:val="000000"/>
          <w:sz w:val="26"/>
          <w:lang w:val="zh-CN" w:eastAsia="zh-CN"/>
        </w:rPr>
        <w:t>2 2 电侧平衡</w:t>
      </w:r>
    </w:p>
    <w:p>
      <w:pPr>
        <w:spacing w:after="120" w:line="317" w:lineRule="auto"/>
        <w:ind w:firstLine="420"/>
      </w:pPr>
      <w:r>
        <w:rPr>
          <w:rFonts w:ascii="Arial Unicode MS" w:hAnsi="Arial Unicode MS" w:eastAsia="Arial Unicode MS" w:hint="eastAsia"/>
          <w:color w:val="000000"/>
          <w:sz w:val="21"/>
          <w:lang w:val="zh-CN" w:eastAsia="zh-CN"/>
        </w:rPr>
        <w:t>在同一小时和同一园区计量边界内，当前 Mock 使用下式：</w:t>
      </w:r>
    </w:p>
    <w:p>
      <w:pPr>
        <w:spacing w:before="60" w:after="160" w:line="276" w:lineRule="auto"/>
        <w:ind w:left="255" w:right="255"/>
        <w:shd w:fill="F3F6F8"/>
      </w:pPr>
      <w:r>
        <w:rPr>
          <w:rFonts w:ascii="Arial Unicode MS" w:hAnsi="Arial Unicode MS" w:eastAsia="Arial Unicode MS" w:hint="eastAsia"/>
          <w:color w:val="1F2937"/>
          <w:sz w:val="19"/>
          <w:lang w:val="zh-CN" w:eastAsia="zh-CN"/>
        </w:rPr>
        <w:t>光伏发电 + 电网进口 = 基础电负荷 + 机组电功率 + 水泵电功率 + 电网上网</w:t>
      </w:r>
    </w:p>
    <w:p>
      <w:pPr>
        <w:spacing w:after="120" w:line="317" w:lineRule="auto"/>
        <w:ind w:firstLine="420"/>
      </w:pPr>
      <w:r>
        <w:rPr>
          <w:rFonts w:ascii="Arial Unicode MS" w:hAnsi="Arial Unicode MS" w:eastAsia="Arial Unicode MS" w:hint="eastAsia"/>
          <w:color w:val="000000"/>
          <w:sz w:val="21"/>
          <w:lang w:val="zh-CN" w:eastAsia="zh-CN"/>
        </w:rPr>
        <w:t>机组电功率由机组当时承担的直接供冷或供热，加上进入水罐的充冷或充热量，再按对应运行模式的 C⁠O⁠P 折算。水泵电耗独立计入电侧负荷。光伏超过全部用电时，剩余部分进入上网量，不在统计中消失。</w:t>
      </w:r>
    </w:p>
    <w:p>
      <w:pPr>
        <w:pStyle w:val="Heading2"/>
      </w:pPr>
      <w:r>
        <w:rPr>
          <w:rFonts w:ascii="Arial Unicode MS" w:hAnsi="Arial Unicode MS" w:eastAsia="Arial Unicode MS" w:hint="eastAsia"/>
          <w:b w:val="0"/>
          <w:color w:val="000000"/>
          <w:sz w:val="26"/>
          <w:lang w:val="zh-CN" w:eastAsia="zh-CN"/>
        </w:rPr>
        <w:t>2 3 热侧平衡</w:t>
      </w:r>
    </w:p>
    <w:p>
      <w:pPr>
        <w:spacing w:after="120" w:line="317" w:lineRule="auto"/>
        <w:ind w:firstLine="420"/>
      </w:pPr>
      <w:r>
        <w:rPr>
          <w:rFonts w:ascii="Arial Unicode MS" w:hAnsi="Arial Unicode MS" w:eastAsia="Arial Unicode MS" w:hint="eastAsia"/>
          <w:color w:val="000000"/>
          <w:sz w:val="21"/>
          <w:lang w:val="zh-CN" w:eastAsia="zh-CN"/>
        </w:rPr>
        <w:t>建筑侧使用下式：</w:t>
      </w:r>
    </w:p>
    <w:p>
      <w:pPr>
        <w:spacing w:before="60" w:after="160" w:line="276" w:lineRule="auto"/>
        <w:ind w:left="255" w:right="255"/>
        <w:shd w:fill="F3F6F8"/>
      </w:pPr>
      <w:r>
        <w:rPr>
          <w:rFonts w:ascii="Arial Unicode MS" w:hAnsi="Arial Unicode MS" w:eastAsia="Arial Unicode MS" w:hint="eastAsia"/>
          <w:color w:val="1F2937"/>
          <w:sz w:val="19"/>
          <w:lang w:val="zh-CN" w:eastAsia="zh-CN"/>
        </w:rPr>
        <w:t>机组直接供冷或供热 + 水罐放冷或放热 = 建筑冷热负荷</w:t>
      </w:r>
    </w:p>
    <w:p>
      <w:pPr>
        <w:spacing w:after="120" w:line="317" w:lineRule="auto"/>
        <w:ind w:firstLine="420"/>
      </w:pPr>
      <w:r>
        <w:rPr>
          <w:rFonts w:ascii="Arial Unicode MS" w:hAnsi="Arial Unicode MS" w:eastAsia="Arial Unicode MS" w:hint="eastAsia"/>
          <w:color w:val="000000"/>
          <w:sz w:val="21"/>
          <w:lang w:val="zh-CN" w:eastAsia="zh-CN"/>
        </w:rPr>
        <w:t>水罐放冷或放热只减少机组当时需要直接提供的冷热量，再通过 COP 间接降低机组用电。它不是发电，也不能放在电侧等式的电源一边。机组充冷或充热属于额外的热量生产，进入水罐能量递推，但不属于当时建筑负荷。</w:t>
      </w:r>
    </w:p>
    <w:p>
      <w:pPr>
        <w:pStyle w:val="Heading2"/>
      </w:pPr>
      <w:r>
        <w:rPr>
          <w:rFonts w:ascii="Arial Unicode MS" w:hAnsi="Arial Unicode MS" w:eastAsia="Arial Unicode MS" w:hint="eastAsia"/>
          <w:b w:val="0"/>
          <w:color w:val="000000"/>
          <w:sz w:val="26"/>
          <w:lang w:val="zh-CN" w:eastAsia="zh-CN"/>
        </w:rPr>
        <w:t>2 4 部分蓄能原则</w:t>
      </w:r>
    </w:p>
    <w:p>
      <w:pPr>
        <w:spacing w:after="120" w:line="317" w:lineRule="auto"/>
        <w:ind w:firstLine="420"/>
      </w:pPr>
      <w:r>
        <w:rPr>
          <w:rFonts w:ascii="Arial Unicode MS" w:hAnsi="Arial Unicode MS" w:eastAsia="Arial Unicode MS" w:hint="eastAsia"/>
          <w:color w:val="000000"/>
          <w:sz w:val="21"/>
          <w:lang w:val="zh-CN" w:eastAsia="zh-CN"/>
        </w:rPr>
        <w:t>默认运行是部分蓄能：水罐在高价或高负荷窗口提供一部分冷热量，机组同时承担余量。判断机组能否短时完全停机，必须同时检查水罐剩余 kWhth、允许的瞬时放能 kWth、水力与末端条件；只看水位百分比不够。</w:t>
      </w:r>
    </w:p>
    <w:p>
      <w:pPr>
        <w:pStyle w:val="Heading2"/>
      </w:pPr>
      <w:r>
        <w:rPr>
          <w:rFonts w:ascii="Arial Unicode MS" w:hAnsi="Arial Unicode MS" w:eastAsia="Arial Unicode MS" w:hint="eastAsia"/>
          <w:b w:val="0"/>
          <w:color w:val="000000"/>
          <w:sz w:val="26"/>
          <w:lang w:val="zh-CN" w:eastAsia="zh-CN"/>
        </w:rPr>
        <w:t>2 5 两类充能窗口</w:t>
      </w:r>
    </w:p>
    <w:p>
      <w:pPr>
        <w:spacing w:after="120" w:line="317" w:lineRule="auto"/>
        <w:ind w:firstLine="420"/>
      </w:pPr>
      <w:r>
        <w:rPr>
          <w:rFonts w:ascii="Arial Unicode MS" w:hAnsi="Arial Unicode MS" w:eastAsia="Arial Unicode MS" w:hint="eastAsia"/>
          <w:color w:val="000000"/>
          <w:sz w:val="21"/>
          <w:lang w:val="zh-CN" w:eastAsia="zh-CN"/>
        </w:rPr>
        <w:t>低谷电价窗口由电网供电驱动机组制取冷水或热水，目标是降低账单或峰值；白天光伏窗口只在光伏超过当时电负荷、上网或限发仍有空间且水罐未满时充能，目标是提高本地消纳。两类窗口来源不同，报告时必须分开统计。</w:t>
      </w:r>
    </w:p>
    <w:p>
      <w:pPr>
        <w:pStyle w:val="Heading1"/>
        <w:keepNext/>
      </w:pPr>
      <w:r>
        <w:rPr>
          <w:rFonts w:ascii="Arial Unicode MS" w:hAnsi="Arial Unicode MS" w:eastAsia="Arial Unicode MS" w:hint="eastAsia"/>
          <w:b w:val="0"/>
          <w:color w:val="000000"/>
          <w:sz w:val="36"/>
          <w:lang w:val="zh-CN" w:eastAsia="zh-CN"/>
        </w:rPr>
        <w:t>3 水蓄冷蓄热设备与容量</w:t>
      </w:r>
    </w:p>
    <w:p>
      <w:pPr>
        <w:pStyle w:val="Heading2"/>
      </w:pPr>
      <w:r>
        <w:rPr>
          <w:rFonts w:ascii="Arial Unicode MS" w:hAnsi="Arial Unicode MS" w:eastAsia="Arial Unicode MS" w:hint="eastAsia"/>
          <w:b w:val="0"/>
          <w:color w:val="000000"/>
          <w:sz w:val="26"/>
          <w:lang w:val="zh-CN" w:eastAsia="zh-CN"/>
        </w:rPr>
        <w:t>3 1 物理设备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</w:tblPr>
      <w:tblGrid>
        <w:gridCol w:w="4986"/>
        <w:gridCol w:w="4986"/>
      </w:tblGrid>
      <w:tr>
        <w:trPr>
          <w:cantSplit/>
          <w:tblHeader w:val="true"/>
        </w:trPr>
        <w:tc>
          <w:tcPr>
            <w:tcW w:type="dxa" w:w="4986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DCE6F1"/>
          </w:tcPr>
          <w:p>
            <w:pPr>
              <w:spacing w:after="0" w:line="269" w:lineRule="auto"/>
              <w:jc w:val="center"/>
            </w:pPr>
            <w:r>
              <w:rPr>
                <w:rFonts w:ascii="Arial Unicode MS" w:hAnsi="Arial Unicode MS" w:eastAsia="Arial Unicode MS" w:hint="eastAsia"/>
                <w:b/>
                <w:color w:val="000000"/>
                <w:sz w:val="18"/>
                <w:lang w:val="zh-CN" w:eastAsia="zh-CN"/>
              </w:rPr>
              <w:t>部件</w:t>
            </w:r>
          </w:p>
        </w:tc>
        <w:tc>
          <w:tcPr>
            <w:tcW w:type="dxa" w:w="4986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DCE6F1"/>
          </w:tcPr>
          <w:p>
            <w:pPr>
              <w:spacing w:after="0" w:line="269" w:lineRule="auto"/>
              <w:jc w:val="center"/>
            </w:pPr>
            <w:r>
              <w:rPr>
                <w:rFonts w:ascii="Arial Unicode MS" w:hAnsi="Arial Unicode MS" w:eastAsia="Arial Unicode MS" w:hint="eastAsia"/>
                <w:b/>
                <w:color w:val="000000"/>
                <w:sz w:val="18"/>
                <w:lang w:val="zh-CN" w:eastAsia="zh-CN"/>
              </w:rPr>
              <w:t>主要作用</w:t>
            </w:r>
          </w:p>
        </w:tc>
      </w:tr>
      <w:tr>
        <w:trPr>
          <w:cantSplit/>
        </w:trPr>
        <w:tc>
          <w:tcPr>
            <w:tcW w:type="dxa" w:w="4986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FFFFFF"/>
          </w:tcPr>
          <w:p>
            <w:pPr>
              <w:spacing w:after="0" w:line="269" w:lineRule="auto"/>
              <w:jc w:val="left"/>
            </w:pPr>
            <w:r>
              <w:rPr>
                <w:rFonts w:ascii="Arial Unicode MS" w:hAnsi="Arial Unicode MS" w:eastAsia="Arial Unicode MS" w:hint="eastAsia"/>
                <w:b w:val="0"/>
                <w:color w:val="000000"/>
                <w:sz w:val="18"/>
                <w:lang w:val="zh-CN" w:eastAsia="zh-CN"/>
              </w:rPr>
              <w:t>分层保温水罐</w:t>
            </w:r>
          </w:p>
        </w:tc>
        <w:tc>
          <w:tcPr>
            <w:tcW w:type="dxa" w:w="4986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FFFFFF"/>
          </w:tcPr>
          <w:p>
            <w:pPr>
              <w:spacing w:after="0" w:line="269" w:lineRule="auto"/>
              <w:jc w:val="left"/>
            </w:pPr>
            <w:r>
              <w:rPr>
                <w:rFonts w:ascii="Arial Unicode MS" w:hAnsi="Arial Unicode MS" w:eastAsia="Arial Unicode MS" w:hint="eastAsia"/>
                <w:b w:val="0"/>
                <w:color w:val="000000"/>
                <w:sz w:val="18"/>
                <w:lang w:val="zh-CN" w:eastAsia="zh-CN"/>
              </w:rPr>
              <w:t>利用温度分层保存可用冷量或热量</w:t>
            </w:r>
          </w:p>
        </w:tc>
      </w:tr>
      <w:tr>
        <w:trPr>
          <w:cantSplit/>
        </w:trPr>
        <w:tc>
          <w:tcPr>
            <w:tcW w:type="dxa" w:w="4986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F7F9FB"/>
          </w:tcPr>
          <w:p>
            <w:pPr>
              <w:spacing w:after="0" w:line="269" w:lineRule="auto"/>
              <w:jc w:val="left"/>
            </w:pPr>
            <w:r>
              <w:rPr>
                <w:rFonts w:ascii="Arial Unicode MS" w:hAnsi="Arial Unicode MS" w:eastAsia="Arial Unicode MS" w:hint="eastAsia"/>
                <w:b w:val="0"/>
                <w:color w:val="000000"/>
                <w:sz w:val="18"/>
                <w:lang w:val="zh-CN" w:eastAsia="zh-CN"/>
              </w:rPr>
              <w:t>布水器</w:t>
            </w:r>
          </w:p>
        </w:tc>
        <w:tc>
          <w:tcPr>
            <w:tcW w:type="dxa" w:w="4986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F7F9FB"/>
          </w:tcPr>
          <w:p>
            <w:pPr>
              <w:spacing w:after="0" w:line="269" w:lineRule="auto"/>
              <w:jc w:val="left"/>
            </w:pPr>
            <w:r>
              <w:rPr>
                <w:rFonts w:ascii="Arial Unicode MS" w:hAnsi="Arial Unicode MS" w:eastAsia="Arial Unicode MS" w:hint="eastAsia"/>
                <w:b w:val="0"/>
                <w:color w:val="000000"/>
                <w:sz w:val="18"/>
                <w:lang w:val="zh-CN" w:eastAsia="zh-CN"/>
              </w:rPr>
              <w:t>降低入流扰动 维持温跃层稳定</w:t>
            </w:r>
          </w:p>
        </w:tc>
      </w:tr>
      <w:tr>
        <w:trPr>
          <w:cantSplit/>
        </w:trPr>
        <w:tc>
          <w:tcPr>
            <w:tcW w:type="dxa" w:w="4986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FFFFFF"/>
          </w:tcPr>
          <w:p>
            <w:pPr>
              <w:spacing w:after="0" w:line="269" w:lineRule="auto"/>
              <w:jc w:val="left"/>
            </w:pPr>
            <w:r>
              <w:rPr>
                <w:rFonts w:ascii="Arial Unicode MS" w:hAnsi="Arial Unicode MS" w:eastAsia="Arial Unicode MS" w:hint="eastAsia"/>
                <w:b w:val="0"/>
                <w:color w:val="000000"/>
                <w:sz w:val="18"/>
                <w:lang w:val="zh-CN" w:eastAsia="zh-CN"/>
              </w:rPr>
              <w:t>循环水泵</w:t>
            </w:r>
          </w:p>
        </w:tc>
        <w:tc>
          <w:tcPr>
            <w:tcW w:type="dxa" w:w="4986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FFFFFF"/>
          </w:tcPr>
          <w:p>
            <w:pPr>
              <w:spacing w:after="0" w:line="269" w:lineRule="auto"/>
              <w:jc w:val="left"/>
            </w:pPr>
            <w:r>
              <w:rPr>
                <w:rFonts w:ascii="Arial Unicode MS" w:hAnsi="Arial Unicode MS" w:eastAsia="Arial Unicode MS" w:hint="eastAsia"/>
                <w:b w:val="0"/>
                <w:color w:val="000000"/>
                <w:sz w:val="18"/>
                <w:lang w:val="zh-CN" w:eastAsia="zh-CN"/>
              </w:rPr>
              <w:t>在机组 水罐 换热器和楼宇之间输送水</w:t>
            </w:r>
          </w:p>
        </w:tc>
      </w:tr>
      <w:tr>
        <w:trPr>
          <w:cantSplit/>
        </w:trPr>
        <w:tc>
          <w:tcPr>
            <w:tcW w:type="dxa" w:w="4986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F7F9FB"/>
          </w:tcPr>
          <w:p>
            <w:pPr>
              <w:spacing w:after="0" w:line="269" w:lineRule="auto"/>
              <w:jc w:val="left"/>
            </w:pPr>
            <w:r>
              <w:rPr>
                <w:rFonts w:ascii="Arial Unicode MS" w:hAnsi="Arial Unicode MS" w:eastAsia="Arial Unicode MS" w:hint="eastAsia"/>
                <w:b w:val="0"/>
                <w:color w:val="000000"/>
                <w:sz w:val="18"/>
                <w:lang w:val="zh-CN" w:eastAsia="zh-CN"/>
              </w:rPr>
              <w:t>阀门与执行器</w:t>
            </w:r>
          </w:p>
        </w:tc>
        <w:tc>
          <w:tcPr>
            <w:tcW w:type="dxa" w:w="4986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F7F9FB"/>
          </w:tcPr>
          <w:p>
            <w:pPr>
              <w:spacing w:after="0" w:line="269" w:lineRule="auto"/>
              <w:jc w:val="left"/>
            </w:pPr>
            <w:r>
              <w:rPr>
                <w:rFonts w:ascii="Arial Unicode MS" w:hAnsi="Arial Unicode MS" w:eastAsia="Arial Unicode MS" w:hint="eastAsia"/>
                <w:b w:val="0"/>
                <w:color w:val="000000"/>
                <w:sz w:val="18"/>
                <w:lang w:val="zh-CN" w:eastAsia="zh-CN"/>
              </w:rPr>
              <w:t>切换充能 放能 旁通和待机水路</w:t>
            </w:r>
          </w:p>
        </w:tc>
      </w:tr>
      <w:tr>
        <w:trPr>
          <w:cantSplit/>
        </w:trPr>
        <w:tc>
          <w:tcPr>
            <w:tcW w:type="dxa" w:w="4986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FFFFFF"/>
          </w:tcPr>
          <w:p>
            <w:pPr>
              <w:spacing w:after="0" w:line="269" w:lineRule="auto"/>
              <w:jc w:val="left"/>
            </w:pPr>
            <w:r>
              <w:rPr>
                <w:rFonts w:ascii="Arial Unicode MS" w:hAnsi="Arial Unicode MS" w:eastAsia="Arial Unicode MS" w:hint="eastAsia"/>
                <w:b w:val="0"/>
                <w:color w:val="000000"/>
                <w:sz w:val="18"/>
                <w:lang w:val="zh-CN" w:eastAsia="zh-CN"/>
              </w:rPr>
              <w:t>换热器或水力分隔</w:t>
            </w:r>
          </w:p>
        </w:tc>
        <w:tc>
          <w:tcPr>
            <w:tcW w:type="dxa" w:w="4986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FFFFFF"/>
          </w:tcPr>
          <w:p>
            <w:pPr>
              <w:spacing w:after="0" w:line="269" w:lineRule="auto"/>
              <w:jc w:val="left"/>
            </w:pPr>
            <w:r>
              <w:rPr>
                <w:rFonts w:ascii="Arial Unicode MS" w:hAnsi="Arial Unicode MS" w:eastAsia="Arial Unicode MS" w:hint="eastAsia"/>
                <w:b w:val="0"/>
                <w:color w:val="000000"/>
                <w:sz w:val="18"/>
                <w:lang w:val="zh-CN" w:eastAsia="zh-CN"/>
              </w:rPr>
              <w:t>隔离不同回路或解决水力耦合条件</w:t>
            </w:r>
          </w:p>
        </w:tc>
      </w:tr>
      <w:tr>
        <w:trPr>
          <w:cantSplit/>
        </w:trPr>
        <w:tc>
          <w:tcPr>
            <w:tcW w:type="dxa" w:w="4986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F7F9FB"/>
          </w:tcPr>
          <w:p>
            <w:pPr>
              <w:spacing w:after="0" w:line="269" w:lineRule="auto"/>
              <w:jc w:val="left"/>
            </w:pPr>
            <w:r>
              <w:rPr>
                <w:rFonts w:ascii="Arial Unicode MS" w:hAnsi="Arial Unicode MS" w:eastAsia="Arial Unicode MS" w:hint="eastAsia"/>
                <w:b w:val="0"/>
                <w:color w:val="000000"/>
                <w:sz w:val="18"/>
                <w:lang w:val="zh-CN" w:eastAsia="zh-CN"/>
              </w:rPr>
              <w:t>冷水机组或热泵</w:t>
            </w:r>
          </w:p>
        </w:tc>
        <w:tc>
          <w:tcPr>
            <w:tcW w:type="dxa" w:w="4986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F7F9FB"/>
          </w:tcPr>
          <w:p>
            <w:pPr>
              <w:spacing w:after="0" w:line="269" w:lineRule="auto"/>
              <w:jc w:val="left"/>
            </w:pPr>
            <w:r>
              <w:rPr>
                <w:rFonts w:ascii="Arial Unicode MS" w:hAnsi="Arial Unicode MS" w:eastAsia="Arial Unicode MS" w:hint="eastAsia"/>
                <w:b w:val="0"/>
                <w:color w:val="000000"/>
                <w:sz w:val="18"/>
                <w:lang w:val="zh-CN" w:eastAsia="zh-CN"/>
              </w:rPr>
              <w:t>使用电力制取冷水或热水</w:t>
            </w:r>
          </w:p>
        </w:tc>
      </w:tr>
      <w:tr>
        <w:trPr>
          <w:cantSplit/>
        </w:trPr>
        <w:tc>
          <w:tcPr>
            <w:tcW w:type="dxa" w:w="4986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FFFFFF"/>
          </w:tcPr>
          <w:p>
            <w:pPr>
              <w:spacing w:after="0" w:line="269" w:lineRule="auto"/>
              <w:jc w:val="left"/>
            </w:pPr>
            <w:r>
              <w:rPr>
                <w:rFonts w:ascii="Arial Unicode MS" w:hAnsi="Arial Unicode MS" w:eastAsia="Arial Unicode MS" w:hint="eastAsia"/>
                <w:b w:val="0"/>
                <w:color w:val="000000"/>
                <w:sz w:val="18"/>
                <w:lang w:val="zh-CN" w:eastAsia="zh-CN"/>
              </w:rPr>
              <w:t>热量表与传感器</w:t>
            </w:r>
          </w:p>
        </w:tc>
        <w:tc>
          <w:tcPr>
            <w:tcW w:type="dxa" w:w="4986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FFFFFF"/>
          </w:tcPr>
          <w:p>
            <w:pPr>
              <w:spacing w:after="0" w:line="269" w:lineRule="auto"/>
              <w:jc w:val="left"/>
            </w:pPr>
            <w:r>
              <w:rPr>
                <w:rFonts w:ascii="Arial Unicode MS" w:hAnsi="Arial Unicode MS" w:eastAsia="Arial Unicode MS" w:hint="eastAsia"/>
                <w:b w:val="0"/>
                <w:color w:val="000000"/>
                <w:sz w:val="18"/>
                <w:lang w:val="zh-CN" w:eastAsia="zh-CN"/>
              </w:rPr>
              <w:t>采集流量 供回水温度 热功率 水位和压差</w:t>
            </w:r>
          </w:p>
        </w:tc>
      </w:tr>
      <w:tr>
        <w:trPr>
          <w:cantSplit/>
        </w:trPr>
        <w:tc>
          <w:tcPr>
            <w:tcW w:type="dxa" w:w="4986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F7F9FB"/>
          </w:tcPr>
          <w:p>
            <w:pPr>
              <w:spacing w:after="0" w:line="269" w:lineRule="auto"/>
              <w:jc w:val="left"/>
            </w:pPr>
            <w:r>
              <w:rPr>
                <w:rFonts w:ascii="Arial Unicode MS" w:hAnsi="Arial Unicode MS" w:eastAsia="Arial Unicode MS" w:hint="eastAsia"/>
                <w:b w:val="0"/>
                <w:color w:val="000000"/>
                <w:sz w:val="18"/>
                <w:lang w:val="zh-CN" w:eastAsia="zh-CN"/>
              </w:rPr>
              <w:t>EMS 与现场控制器</w:t>
            </w:r>
          </w:p>
        </w:tc>
        <w:tc>
          <w:tcPr>
            <w:tcW w:type="dxa" w:w="4986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F7F9FB"/>
          </w:tcPr>
          <w:p>
            <w:pPr>
              <w:spacing w:after="0" w:line="269" w:lineRule="auto"/>
              <w:jc w:val="left"/>
            </w:pPr>
            <w:r>
              <w:rPr>
                <w:rFonts w:ascii="Arial Unicode MS" w:hAnsi="Arial Unicode MS" w:eastAsia="Arial Unicode MS" w:hint="eastAsia"/>
                <w:b w:val="0"/>
                <w:color w:val="000000"/>
                <w:sz w:val="18"/>
                <w:lang w:val="zh-CN" w:eastAsia="zh-CN"/>
              </w:rPr>
              <w:t>生成计划 执行安全校验 记录反馈与效果</w:t>
            </w:r>
          </w:p>
        </w:tc>
      </w:tr>
    </w:tbl>
    <w:p>
      <w:pPr>
        <w:spacing w:after="40"/>
      </w:pPr>
    </w:p>
    <w:p>
      <w:pPr>
        <w:spacing w:after="120" w:line="317" w:lineRule="auto"/>
        <w:ind w:firstLine="420"/>
      </w:pPr>
      <w:r>
        <w:rPr>
          <w:rFonts w:ascii="Arial Unicode MS" w:hAnsi="Arial Unicode MS" w:eastAsia="Arial Unicode MS" w:hint="eastAsia"/>
          <w:color w:val="000000"/>
          <w:sz w:val="21"/>
          <w:lang w:val="zh-CN" w:eastAsia="zh-CN"/>
        </w:rPr>
        <w:t>保温、结构、承压、防腐、泄漏监测、水处理和机房空间均属于工程设计事项，不能由前端演示配置替代。</w:t>
      </w:r>
    </w:p>
    <w:p>
      <w:pPr>
        <w:pStyle w:val="Heading2"/>
      </w:pPr>
      <w:r>
        <w:rPr>
          <w:rFonts w:ascii="Arial Unicode MS" w:hAnsi="Arial Unicode MS" w:eastAsia="Arial Unicode MS" w:hint="eastAsia"/>
          <w:b w:val="0"/>
          <w:color w:val="000000"/>
          <w:sz w:val="26"/>
          <w:lang w:val="zh-CN" w:eastAsia="zh-CN"/>
        </w:rPr>
        <w:t>3 2 显热容量近似</w:t>
      </w:r>
    </w:p>
    <w:p>
      <w:pPr>
        <w:spacing w:after="120" w:line="317" w:lineRule="auto"/>
        <w:ind w:firstLine="420"/>
      </w:pPr>
      <w:r>
        <w:rPr>
          <w:rFonts w:ascii="Arial Unicode MS" w:hAnsi="Arial Unicode MS" w:eastAsia="Arial Unicode MS" w:hint="eastAsia"/>
          <w:color w:val="000000"/>
          <w:sz w:val="21"/>
          <w:lang w:val="zh-CN" w:eastAsia="zh-CN"/>
        </w:rPr>
        <w:t>水的显热容量可按下式估算：</w:t>
      </w:r>
    </w:p>
    <w:p>
      <w:pPr>
        <w:spacing w:before="60" w:after="160" w:line="276" w:lineRule="auto"/>
        <w:ind w:left="255" w:right="255"/>
        <w:shd w:fill="F3F6F8"/>
      </w:pPr>
      <w:r>
        <w:rPr>
          <w:rFonts w:ascii="Arial Unicode MS" w:hAnsi="Arial Unicode MS" w:eastAsia="Arial Unicode MS" w:hint="eastAsia"/>
          <w:color w:val="1F2937"/>
          <w:sz w:val="19"/>
          <w:lang w:val="zh-CN" w:eastAsia="zh-CN"/>
        </w:rPr>
        <w:t>kWhth ≈ 1.163 × 水量 m³ × 有效温差 ℃</w:t>
      </w:r>
    </w:p>
    <w:p>
      <w:pPr>
        <w:spacing w:after="120" w:line="317" w:lineRule="auto"/>
        <w:ind w:firstLine="420"/>
      </w:pPr>
      <w:r>
        <w:rPr>
          <w:rFonts w:ascii="Arial Unicode MS" w:hAnsi="Arial Unicode MS" w:eastAsia="Arial Unicode MS" w:hint="eastAsia"/>
          <w:color w:val="000000"/>
          <w:sz w:val="21"/>
          <w:lang w:val="zh-CN" w:eastAsia="zh-CN"/>
        </w:rPr>
        <w:t>当前演示采用 180 m³ 水罐。制冷模式供回水为 6/13 ℃，有效温差约 7 ℃，示范容量约为 1465.4 kWhth。供热模式供回水为 45/35 ℃，有效温差约 10 ℃，示范容量约为 2093.4 kWhth。</w:t>
      </w:r>
    </w:p>
    <w:p>
      <w:pPr>
        <w:spacing w:after="120" w:line="317" w:lineRule="auto"/>
        <w:ind w:firstLine="420"/>
      </w:pPr>
      <w:r>
        <w:rPr>
          <w:rFonts w:ascii="Arial Unicode MS" w:hAnsi="Arial Unicode MS" w:eastAsia="Arial Unicode MS" w:hint="eastAsia"/>
          <w:color w:val="000000"/>
          <w:sz w:val="21"/>
          <w:lang w:val="zh-CN" w:eastAsia="zh-CN"/>
        </w:rPr>
        <w:t>这些数值是 Mock 演示值，不是工程选型。实际可用容量还受温跃层厚度、死水区、混合、换热端差、保温损失、最低可用温差和运行边界影响。</w:t>
      </w:r>
    </w:p>
    <w:p>
      <w:pPr>
        <w:pStyle w:val="Heading2"/>
      </w:pPr>
      <w:r>
        <w:rPr>
          <w:rFonts w:ascii="Arial Unicode MS" w:hAnsi="Arial Unicode MS" w:eastAsia="Arial Unicode MS" w:hint="eastAsia"/>
          <w:b w:val="0"/>
          <w:color w:val="000000"/>
          <w:sz w:val="26"/>
          <w:lang w:val="zh-CN" w:eastAsia="zh-CN"/>
        </w:rPr>
        <w:t>3 3 功率 容量和水位</w:t>
      </w:r>
    </w:p>
    <w:p>
      <w:pPr>
        <w:spacing w:after="120" w:line="317" w:lineRule="auto"/>
        <w:ind w:firstLine="420"/>
      </w:pPr>
      <w:r>
        <w:rPr>
          <w:rFonts w:ascii="Arial Unicode MS" w:hAnsi="Arial Unicode MS" w:eastAsia="Arial Unicode MS" w:hint="eastAsia"/>
          <w:color w:val="000000"/>
          <w:sz w:val="21"/>
          <w:lang w:val="zh-CN" w:eastAsia="zh-CN"/>
        </w:rPr>
        <w:t>kWhth 表示可转移多少冷热量，kWth 表示充冷、充热、放冷或放热的快慢。水位百分比是相对可用容量的展示指标，不是液位百分比，也不能单独推断可持续时长。可用时长按“剩余 kWhth × 放能效率 ÷ 可交付功率”计算；可交付功率取当前热负荷与最大放能功率中的较小值。</w:t>
      </w:r>
    </w:p>
    <w:p>
      <w:pPr>
        <w:pStyle w:val="Heading2"/>
      </w:pPr>
      <w:r>
        <w:rPr>
          <w:rFonts w:ascii="Arial Unicode MS" w:hAnsi="Arial Unicode MS" w:eastAsia="Arial Unicode MS" w:hint="eastAsia"/>
          <w:b w:val="0"/>
          <w:color w:val="000000"/>
          <w:sz w:val="26"/>
          <w:lang w:val="zh-CN" w:eastAsia="zh-CN"/>
        </w:rPr>
        <w:t>3 4 季节切换</w:t>
      </w:r>
    </w:p>
    <w:p>
      <w:pPr>
        <w:spacing w:after="120" w:line="317" w:lineRule="auto"/>
        <w:ind w:firstLine="420"/>
      </w:pPr>
      <w:r>
        <w:rPr>
          <w:rFonts w:ascii="Arial Unicode MS" w:hAnsi="Arial Unicode MS" w:eastAsia="Arial Unicode MS" w:hint="eastAsia"/>
          <w:color w:val="000000"/>
          <w:sz w:val="21"/>
          <w:lang w:val="zh-CN" w:eastAsia="zh-CN"/>
        </w:rPr>
        <w:t>同一水罐在制冷季和供热季使用不同的供回水温度、机组 COP、容量和分层方向。切换不是界面换色，还需要实际系统完成水路、控制和设备适用性确认。季节切换期间的排空、清洗、水质和停机安排属于现场方案。</w:t>
      </w:r>
    </w:p>
    <w:p>
      <w:pPr>
        <w:pStyle w:val="Heading1"/>
        <w:keepNext/>
      </w:pPr>
      <w:r>
        <w:rPr>
          <w:rFonts w:ascii="Arial Unicode MS" w:hAnsi="Arial Unicode MS" w:eastAsia="Arial Unicode MS" w:hint="eastAsia"/>
          <w:b w:val="0"/>
          <w:color w:val="000000"/>
          <w:sz w:val="36"/>
          <w:lang w:val="zh-CN" w:eastAsia="zh-CN"/>
        </w:rPr>
        <w:t>4 当前产品功能与操作</w:t>
      </w:r>
    </w:p>
    <w:p>
      <w:pPr>
        <w:pStyle w:val="Heading2"/>
      </w:pPr>
      <w:r>
        <w:rPr>
          <w:rFonts w:ascii="Arial Unicode MS" w:hAnsi="Arial Unicode MS" w:eastAsia="Arial Unicode MS" w:hint="eastAsia"/>
          <w:b w:val="0"/>
          <w:color w:val="000000"/>
          <w:sz w:val="26"/>
          <w:lang w:val="zh-CN" w:eastAsia="zh-CN"/>
        </w:rPr>
        <w:t>4 1 运行总览</w:t>
      </w:r>
    </w:p>
    <w:p>
      <w:pPr>
        <w:spacing w:after="120" w:line="317" w:lineRule="auto"/>
        <w:ind w:firstLine="420"/>
      </w:pPr>
      <w:r>
        <w:rPr>
          <w:rFonts w:ascii="Arial Unicode MS" w:hAnsi="Arial Unicode MS" w:eastAsia="Arial Unicode MS" w:hint="eastAsia"/>
          <w:color w:val="000000"/>
          <w:sz w:val="21"/>
          <w:lang w:val="zh-CN" w:eastAsia="zh-CN"/>
        </w:rPr>
        <w:t>运行总览把光伏和电侧信息放在左侧，把园区三维场景放在中部，把空调冷热负荷、水蓄能状态、AI 建议和告警放在右侧。顶部可切换制冷或供热以及正常、高温或寒潮、阴天和高峰电价场景；底部入口进入深度分析。</w:t>
      </w:r>
    </w:p>
    <w:p>
      <w:pPr>
        <w:pStyle w:val="Heading2"/>
      </w:pPr>
      <w:r>
        <w:rPr>
          <w:rFonts w:ascii="Arial Unicode MS" w:hAnsi="Arial Unicode MS" w:eastAsia="Arial Unicode MS" w:hint="eastAsia"/>
          <w:b w:val="0"/>
          <w:color w:val="000000"/>
          <w:sz w:val="26"/>
          <w:lang w:val="zh-CN" w:eastAsia="zh-CN"/>
        </w:rPr>
        <w:t>4 2 建议体验路径</w:t>
      </w:r>
    </w:p>
    <w:p>
      <w:pPr>
        <w:pStyle w:val="ListNumber"/>
        <w:spacing w:after="120" w:line="317" w:lineRule="auto"/>
      </w:pPr>
      <w:r>
        <w:rPr>
          <w:rFonts w:ascii="Arial Unicode MS" w:hAnsi="Arial Unicode MS" w:eastAsia="Arial Unicode MS" w:hint="eastAsia"/>
          <w:color w:val="000000"/>
          <w:sz w:val="21"/>
          <w:lang w:val="zh-CN" w:eastAsia="zh-CN"/>
        </w:rPr>
        <w:t>打开运行总览，确认页面处于 Mock 演示模式，观察光伏 kW、电网进口 kW、建筑热负荷 kWth 和水罐水位。</w:t>
      </w:r>
    </w:p>
    <w:p>
      <w:pPr>
        <w:pStyle w:val="ListNumber"/>
        <w:spacing w:after="120" w:line="317" w:lineRule="auto"/>
      </w:pPr>
      <w:r>
        <w:rPr>
          <w:rFonts w:ascii="Arial Unicode MS" w:hAnsi="Arial Unicode MS" w:eastAsia="Arial Unicode MS" w:hint="eastAsia"/>
          <w:color w:val="000000"/>
          <w:sz w:val="21"/>
          <w:lang w:val="zh-CN" w:eastAsia="zh-CN"/>
        </w:rPr>
        <w:t>在制冷和供热之间切换，核对供回水温度、容量、文案、图表和三维分层颜色同步变化。</w:t>
      </w:r>
    </w:p>
    <w:p>
      <w:pPr>
        <w:pStyle w:val="ListNumber"/>
        <w:spacing w:after="120" w:line="317" w:lineRule="auto"/>
      </w:pPr>
      <w:r>
        <w:rPr>
          <w:rFonts w:ascii="Arial Unicode MS" w:hAnsi="Arial Unicode MS" w:eastAsia="Arial Unicode MS" w:hint="eastAsia"/>
          <w:color w:val="000000"/>
          <w:sz w:val="21"/>
          <w:lang w:val="zh-CN" w:eastAsia="zh-CN"/>
        </w:rPr>
        <w:t>依次切换正常、温度压力、阴天和高峰电价场景，比较负荷、充放能、购电和建议变化。</w:t>
      </w:r>
    </w:p>
    <w:p>
      <w:pPr>
        <w:pStyle w:val="ListNumber"/>
        <w:spacing w:after="120" w:line="317" w:lineRule="auto"/>
      </w:pPr>
      <w:r>
        <w:rPr>
          <w:rFonts w:ascii="Arial Unicode MS" w:hAnsi="Arial Unicode MS" w:eastAsia="Arial Unicode MS" w:hint="eastAsia"/>
          <w:color w:val="000000"/>
          <w:sz w:val="21"/>
          <w:lang w:val="zh-CN" w:eastAsia="zh-CN"/>
        </w:rPr>
        <w:t>暂停回放并选择具体小时，对比夜间低谷充能、午间光伏剩余充能和高价窗口部分放能。</w:t>
      </w:r>
    </w:p>
    <w:p>
      <w:pPr>
        <w:pStyle w:val="ListNumber"/>
        <w:spacing w:after="120" w:line="317" w:lineRule="auto"/>
      </w:pPr>
      <w:r>
        <w:rPr>
          <w:rFonts w:ascii="Arial Unicode MS" w:hAnsi="Arial Unicode MS" w:eastAsia="Arial Unicode MS" w:hint="eastAsia"/>
          <w:color w:val="000000"/>
          <w:sz w:val="21"/>
          <w:lang w:val="zh-CN" w:eastAsia="zh-CN"/>
        </w:rPr>
        <w:t>打开水蓄能设备详情，查看水位、可用 kWhth、充放 kWth、供回水温度、可用时长和关联告警。</w:t>
      </w:r>
    </w:p>
    <w:p>
      <w:pPr>
        <w:pStyle w:val="ListNumber"/>
        <w:spacing w:after="120" w:line="317" w:lineRule="auto"/>
      </w:pPr>
      <w:r>
        <w:rPr>
          <w:rFonts w:ascii="Arial Unicode MS" w:hAnsi="Arial Unicode MS" w:eastAsia="Arial Unicode MS" w:hint="eastAsia"/>
          <w:color w:val="000000"/>
          <w:sz w:val="21"/>
          <w:lang w:val="zh-CN" w:eastAsia="zh-CN"/>
        </w:rPr>
        <w:t>进入深度分析，分别查看电功率、冷热负荷构成、水蓄能趋势、节能减碳、收益和 AI 时间轴。</w:t>
      </w:r>
    </w:p>
    <w:p>
      <w:pPr>
        <w:pStyle w:val="Heading2"/>
      </w:pPr>
      <w:r>
        <w:rPr>
          <w:rFonts w:ascii="Arial Unicode MS" w:hAnsi="Arial Unicode MS" w:eastAsia="Arial Unicode MS" w:hint="eastAsia"/>
          <w:b w:val="0"/>
          <w:color w:val="000000"/>
          <w:sz w:val="26"/>
          <w:lang w:val="zh-CN" w:eastAsia="zh-CN"/>
        </w:rPr>
        <w:t>4 3 当前流程</w:t>
      </w:r>
    </w:p>
    <w:p>
      <w:pPr>
        <w:spacing w:after="120" w:line="317" w:lineRule="auto"/>
        <w:ind w:firstLine="420"/>
      </w:pPr>
      <w:r>
        <w:rPr>
          <w:rFonts w:ascii="Arial Unicode MS" w:hAnsi="Arial Unicode MS" w:eastAsia="Arial Unicode MS" w:hint="eastAsia"/>
          <w:color w:val="000000"/>
          <w:sz w:val="21"/>
          <w:lang w:val="zh-CN" w:eastAsia="zh-CN"/>
        </w:rPr>
        <w:t>实际软件流程是“选择季节与场景 → 加载示例数据 → 推导小时快照 → 更新面板 图表 三维与告警 → 展示规则建议”。普通回放约每 5 秒推进一小时，是演示节奏，不代表真实设备每 5 秒控制一次。</w:t>
      </w:r>
    </w:p>
    <w:p>
      <w:pPr>
        <w:spacing w:after="120" w:line="317" w:lineRule="auto"/>
        <w:ind w:firstLine="420"/>
      </w:pPr>
      <w:r>
        <w:rPr>
          <w:rFonts w:ascii="Arial Unicode MS" w:hAnsi="Arial Unicode MS" w:eastAsia="Arial Unicode MS" w:hint="eastAsia"/>
          <w:color w:val="000000"/>
          <w:sz w:val="21"/>
          <w:lang w:val="zh-CN" w:eastAsia="zh-CN"/>
        </w:rPr>
        <w:t>状态管理为季节和场景请求设置最新请求标识。用户快速连续切换时，较早返回或较早失败的请求不会覆盖最新选择；演示重启也可使旧的过渡请求失效。此保护提高界面一致性，但不等同于现场控制的幂等、事务或安全联锁。</w:t>
      </w:r>
    </w:p>
    <w:p>
      <w:pPr>
        <w:pStyle w:val="Heading1"/>
        <w:keepNext/>
      </w:pPr>
      <w:r>
        <w:rPr>
          <w:rFonts w:ascii="Arial Unicode MS" w:hAnsi="Arial Unicode MS" w:eastAsia="Arial Unicode MS" w:hint="eastAsia"/>
          <w:b w:val="0"/>
          <w:color w:val="000000"/>
          <w:sz w:val="36"/>
          <w:lang w:val="zh-CN" w:eastAsia="zh-CN"/>
        </w:rPr>
        <w:t>5 三维孪生与分析工作区</w:t>
      </w:r>
    </w:p>
    <w:p>
      <w:pPr>
        <w:pStyle w:val="Heading2"/>
      </w:pPr>
      <w:r>
        <w:rPr>
          <w:rFonts w:ascii="Arial Unicode MS" w:hAnsi="Arial Unicode MS" w:eastAsia="Arial Unicode MS" w:hint="eastAsia"/>
          <w:b w:val="0"/>
          <w:color w:val="000000"/>
          <w:sz w:val="26"/>
          <w:lang w:val="zh-CN" w:eastAsia="zh-CN"/>
        </w:rPr>
        <w:t>5 1 三种工作区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</w:tblPr>
      <w:tblGrid>
        <w:gridCol w:w="3324"/>
        <w:gridCol w:w="3324"/>
        <w:gridCol w:w="3324"/>
      </w:tblGrid>
      <w:tr>
        <w:trPr>
          <w:cantSplit/>
          <w:tblHeader w:val="true"/>
        </w:trPr>
        <w:tc>
          <w:tcPr>
            <w:tcW w:type="dxa" w:w="3324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DCE6F1"/>
          </w:tcPr>
          <w:p>
            <w:pPr>
              <w:spacing w:after="0" w:line="269" w:lineRule="auto"/>
              <w:jc w:val="center"/>
            </w:pPr>
            <w:r>
              <w:rPr>
                <w:rFonts w:ascii="Arial Unicode MS" w:hAnsi="Arial Unicode MS" w:eastAsia="Arial Unicode MS" w:hint="eastAsia"/>
                <w:b/>
                <w:color w:val="000000"/>
                <w:sz w:val="18"/>
                <w:lang w:val="zh-CN" w:eastAsia="zh-CN"/>
              </w:rPr>
              <w:t>工作区</w:t>
            </w:r>
          </w:p>
        </w:tc>
        <w:tc>
          <w:tcPr>
            <w:tcW w:type="dxa" w:w="3324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DCE6F1"/>
          </w:tcPr>
          <w:p>
            <w:pPr>
              <w:spacing w:after="0" w:line="269" w:lineRule="auto"/>
              <w:jc w:val="center"/>
            </w:pPr>
            <w:r>
              <w:rPr>
                <w:rFonts w:ascii="Arial Unicode MS" w:hAnsi="Arial Unicode MS" w:eastAsia="Arial Unicode MS" w:hint="eastAsia"/>
                <w:b/>
                <w:color w:val="000000"/>
                <w:sz w:val="18"/>
                <w:lang w:val="zh-CN" w:eastAsia="zh-CN"/>
              </w:rPr>
              <w:t>适用任务</w:t>
            </w:r>
          </w:p>
        </w:tc>
        <w:tc>
          <w:tcPr>
            <w:tcW w:type="dxa" w:w="3324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DCE6F1"/>
          </w:tcPr>
          <w:p>
            <w:pPr>
              <w:spacing w:after="0" w:line="269" w:lineRule="auto"/>
              <w:jc w:val="center"/>
            </w:pPr>
            <w:r>
              <w:rPr>
                <w:rFonts w:ascii="Arial Unicode MS" w:hAnsi="Arial Unicode MS" w:eastAsia="Arial Unicode MS" w:hint="eastAsia"/>
                <w:b/>
                <w:color w:val="000000"/>
                <w:sz w:val="18"/>
                <w:lang w:val="zh-CN" w:eastAsia="zh-CN"/>
              </w:rPr>
              <w:t>主要内容</w:t>
            </w:r>
          </w:p>
        </w:tc>
      </w:tr>
      <w:tr>
        <w:trPr>
          <w:cantSplit/>
        </w:trPr>
        <w:tc>
          <w:tcPr>
            <w:tcW w:type="dxa" w:w="3324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FFFFFF"/>
          </w:tcPr>
          <w:p>
            <w:pPr>
              <w:spacing w:after="0" w:line="269" w:lineRule="auto"/>
              <w:jc w:val="left"/>
            </w:pPr>
            <w:r>
              <w:rPr>
                <w:rFonts w:ascii="Arial Unicode MS" w:hAnsi="Arial Unicode MS" w:eastAsia="Arial Unicode MS" w:hint="eastAsia"/>
                <w:b w:val="0"/>
                <w:color w:val="000000"/>
                <w:sz w:val="18"/>
                <w:lang w:val="zh-CN" w:eastAsia="zh-CN"/>
              </w:rPr>
              <w:t>运行总览</w:t>
            </w:r>
          </w:p>
        </w:tc>
        <w:tc>
          <w:tcPr>
            <w:tcW w:type="dxa" w:w="3324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FFFFFF"/>
          </w:tcPr>
          <w:p>
            <w:pPr>
              <w:spacing w:after="0" w:line="269" w:lineRule="auto"/>
              <w:jc w:val="left"/>
            </w:pPr>
            <w:r>
              <w:rPr>
                <w:rFonts w:ascii="Arial Unicode MS" w:hAnsi="Arial Unicode MS" w:eastAsia="Arial Unicode MS" w:hint="eastAsia"/>
                <w:b w:val="0"/>
                <w:color w:val="000000"/>
                <w:sz w:val="18"/>
                <w:lang w:val="zh-CN" w:eastAsia="zh-CN"/>
              </w:rPr>
              <w:t>日常观察与现场讲解</w:t>
            </w:r>
          </w:p>
        </w:tc>
        <w:tc>
          <w:tcPr>
            <w:tcW w:type="dxa" w:w="3324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FFFFFF"/>
          </w:tcPr>
          <w:p>
            <w:pPr>
              <w:spacing w:after="0" w:line="269" w:lineRule="auto"/>
              <w:jc w:val="left"/>
            </w:pPr>
            <w:r>
              <w:rPr>
                <w:rFonts w:ascii="Arial Unicode MS" w:hAnsi="Arial Unicode MS" w:eastAsia="Arial Unicode MS" w:hint="eastAsia"/>
                <w:b w:val="0"/>
                <w:color w:val="000000"/>
                <w:sz w:val="18"/>
                <w:lang w:val="zh-CN" w:eastAsia="zh-CN"/>
              </w:rPr>
              <w:t>核心指标 能源概览 三维园区 建议与告警</w:t>
            </w:r>
          </w:p>
        </w:tc>
      </w:tr>
      <w:tr>
        <w:trPr>
          <w:cantSplit/>
        </w:trPr>
        <w:tc>
          <w:tcPr>
            <w:tcW w:type="dxa" w:w="3324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F7F9FB"/>
          </w:tcPr>
          <w:p>
            <w:pPr>
              <w:spacing w:after="0" w:line="269" w:lineRule="auto"/>
              <w:jc w:val="left"/>
            </w:pPr>
            <w:r>
              <w:rPr>
                <w:rFonts w:ascii="Arial Unicode MS" w:hAnsi="Arial Unicode MS" w:eastAsia="Arial Unicode MS" w:hint="eastAsia"/>
                <w:b w:val="0"/>
                <w:color w:val="000000"/>
                <w:sz w:val="18"/>
                <w:lang w:val="zh-CN" w:eastAsia="zh-CN"/>
              </w:rPr>
              <w:t>沉浸孪生</w:t>
            </w:r>
          </w:p>
        </w:tc>
        <w:tc>
          <w:tcPr>
            <w:tcW w:type="dxa" w:w="3324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F7F9FB"/>
          </w:tcPr>
          <w:p>
            <w:pPr>
              <w:spacing w:after="0" w:line="269" w:lineRule="auto"/>
              <w:jc w:val="left"/>
            </w:pPr>
            <w:r>
              <w:rPr>
                <w:rFonts w:ascii="Arial Unicode MS" w:hAnsi="Arial Unicode MS" w:eastAsia="Arial Unicode MS" w:hint="eastAsia"/>
                <w:b w:val="0"/>
                <w:color w:val="000000"/>
                <w:sz w:val="18"/>
                <w:lang w:val="zh-CN" w:eastAsia="zh-CN"/>
              </w:rPr>
              <w:t>讲解设备关系与热量流向</w:t>
            </w:r>
          </w:p>
        </w:tc>
        <w:tc>
          <w:tcPr>
            <w:tcW w:type="dxa" w:w="3324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F7F9FB"/>
          </w:tcPr>
          <w:p>
            <w:pPr>
              <w:spacing w:after="0" w:line="269" w:lineRule="auto"/>
              <w:jc w:val="left"/>
            </w:pPr>
            <w:r>
              <w:rPr>
                <w:rFonts w:ascii="Arial Unicode MS" w:hAnsi="Arial Unicode MS" w:eastAsia="Arial Unicode MS" w:hint="eastAsia"/>
                <w:b w:val="0"/>
                <w:color w:val="000000"/>
                <w:sz w:val="18"/>
                <w:lang w:val="zh-CN" w:eastAsia="zh-CN"/>
              </w:rPr>
              <w:t>扩大的三维画布 设备视角 分层水罐和动态能流</w:t>
            </w:r>
          </w:p>
        </w:tc>
      </w:tr>
      <w:tr>
        <w:trPr>
          <w:cantSplit/>
        </w:trPr>
        <w:tc>
          <w:tcPr>
            <w:tcW w:type="dxa" w:w="3324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FFFFFF"/>
          </w:tcPr>
          <w:p>
            <w:pPr>
              <w:spacing w:after="0" w:line="269" w:lineRule="auto"/>
              <w:jc w:val="left"/>
            </w:pPr>
            <w:r>
              <w:rPr>
                <w:rFonts w:ascii="Arial Unicode MS" w:hAnsi="Arial Unicode MS" w:eastAsia="Arial Unicode MS" w:hint="eastAsia"/>
                <w:b w:val="0"/>
                <w:color w:val="000000"/>
                <w:sz w:val="18"/>
                <w:lang w:val="zh-CN" w:eastAsia="zh-CN"/>
              </w:rPr>
              <w:t>深度分析</w:t>
            </w:r>
          </w:p>
        </w:tc>
        <w:tc>
          <w:tcPr>
            <w:tcW w:type="dxa" w:w="3324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FFFFFF"/>
          </w:tcPr>
          <w:p>
            <w:pPr>
              <w:spacing w:after="0" w:line="269" w:lineRule="auto"/>
              <w:jc w:val="left"/>
            </w:pPr>
            <w:r>
              <w:rPr>
                <w:rFonts w:ascii="Arial Unicode MS" w:hAnsi="Arial Unicode MS" w:eastAsia="Arial Unicode MS" w:hint="eastAsia"/>
                <w:b w:val="0"/>
                <w:color w:val="000000"/>
                <w:sz w:val="18"/>
                <w:lang w:val="zh-CN" w:eastAsia="zh-CN"/>
              </w:rPr>
              <w:t>比较趋势与追踪建议</w:t>
            </w:r>
          </w:p>
        </w:tc>
        <w:tc>
          <w:tcPr>
            <w:tcW w:type="dxa" w:w="3324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FFFFFF"/>
          </w:tcPr>
          <w:p>
            <w:pPr>
              <w:spacing w:after="0" w:line="269" w:lineRule="auto"/>
              <w:jc w:val="left"/>
            </w:pPr>
            <w:r>
              <w:rPr>
                <w:rFonts w:ascii="Arial Unicode MS" w:hAnsi="Arial Unicode MS" w:eastAsia="Arial Unicode MS" w:hint="eastAsia"/>
                <w:b w:val="0"/>
                <w:color w:val="000000"/>
                <w:sz w:val="18"/>
                <w:lang w:val="zh-CN" w:eastAsia="zh-CN"/>
              </w:rPr>
              <w:t>电功率 热负荷 水蓄能 节能减碳 收益和 AI 时间轴</w:t>
            </w:r>
          </w:p>
        </w:tc>
      </w:tr>
    </w:tbl>
    <w:p>
      <w:pPr>
        <w:spacing w:after="40"/>
      </w:pPr>
    </w:p>
    <w:p>
      <w:pPr>
        <w:pStyle w:val="Heading2"/>
      </w:pPr>
      <w:r>
        <w:rPr>
          <w:rFonts w:ascii="Arial Unicode MS" w:hAnsi="Arial Unicode MS" w:eastAsia="Arial Unicode MS" w:hint="eastAsia"/>
          <w:b w:val="0"/>
          <w:color w:val="000000"/>
          <w:sz w:val="26"/>
          <w:lang w:val="zh-CN" w:eastAsia="zh-CN"/>
        </w:rPr>
        <w:t>5 2 三维能力</w:t>
      </w:r>
    </w:p>
    <w:p>
      <w:pPr>
        <w:spacing w:after="120" w:line="317" w:lineRule="auto"/>
        <w:ind w:firstLine="420"/>
      </w:pPr>
      <w:r>
        <w:rPr>
          <w:rFonts w:ascii="Arial Unicode MS" w:hAnsi="Arial Unicode MS" w:eastAsia="Arial Unicode MS" w:hint="eastAsia"/>
          <w:color w:val="000000"/>
          <w:sz w:val="21"/>
          <w:lang w:val="zh-CN" w:eastAsia="zh-CN"/>
        </w:rPr>
        <w:t>场景覆盖楼宇、屋顶光伏、冷站或热泵、分层蓄能水罐和电网接入设备，支持总览、光伏、空调和水蓄能视角。水罐内部以两层颜色表示可用冷水或热水与回水区，制冷和供热采用不同分层方向；机组到水罐、水罐到楼宇的动态流根据充能或放能状态开启。</w:t>
      </w:r>
    </w:p>
    <w:p>
      <w:pPr>
        <w:spacing w:after="120" w:line="317" w:lineRule="auto"/>
        <w:ind w:firstLine="420"/>
      </w:pPr>
      <w:r>
        <w:rPr>
          <w:rFonts w:ascii="Arial Unicode MS" w:hAnsi="Arial Unicode MS" w:eastAsia="Arial Unicode MS" w:hint="eastAsia"/>
          <w:color w:val="000000"/>
          <w:sz w:val="21"/>
          <w:lang w:val="zh-CN" w:eastAsia="zh-CN"/>
        </w:rPr>
        <w:t>工作区切换复用同一三维场景和业务选择；隐藏时停止渲染，恢复后继续运行。设备支持选中、高亮、详情和告警定位。单个模型加载失败或 WebGL 不可用时提供降级路径。</w:t>
      </w:r>
    </w:p>
    <w:p>
      <w:pPr>
        <w:pStyle w:val="Heading2"/>
      </w:pPr>
      <w:r>
        <w:rPr>
          <w:rFonts w:ascii="Arial Unicode MS" w:hAnsi="Arial Unicode MS" w:eastAsia="Arial Unicode MS" w:hint="eastAsia"/>
          <w:b w:val="0"/>
          <w:color w:val="000000"/>
          <w:sz w:val="26"/>
          <w:lang w:val="zh-CN" w:eastAsia="zh-CN"/>
        </w:rPr>
        <w:t>5 3 分析图表</w:t>
      </w:r>
    </w:p>
    <w:p>
      <w:pPr>
        <w:spacing w:after="120" w:line="317" w:lineRule="auto"/>
        <w:ind w:firstLine="420"/>
      </w:pPr>
      <w:r>
        <w:rPr>
          <w:rFonts w:ascii="Arial Unicode MS" w:hAnsi="Arial Unicode MS" w:eastAsia="Arial Unicode MS" w:hint="eastAsia"/>
          <w:color w:val="000000"/>
          <w:sz w:val="21"/>
          <w:lang w:val="zh-CN" w:eastAsia="zh-CN"/>
        </w:rPr>
        <w:t>电功率趋势只展示 kW 字段，包括光伏、总电负荷、电网进口与上网。热负荷图只展示 kWth 字段，包括建筑冷热负荷、机组直供和水罐放冷或放热。水蓄能图把充放功率放在 kWth 轴，把水位放在独立百分比轴，避免单位混淆。</w:t>
      </w:r>
    </w:p>
    <w:p>
      <w:pPr>
        <w:pStyle w:val="Heading2"/>
      </w:pPr>
      <w:r>
        <w:rPr>
          <w:rFonts w:ascii="Arial Unicode MS" w:hAnsi="Arial Unicode MS" w:eastAsia="Arial Unicode MS" w:hint="eastAsia"/>
          <w:b w:val="0"/>
          <w:color w:val="000000"/>
          <w:sz w:val="26"/>
          <w:lang w:val="zh-CN" w:eastAsia="zh-CN"/>
        </w:rPr>
        <w:t>5 4 孪生精度边界</w:t>
      </w:r>
    </w:p>
    <w:p>
      <w:pPr>
        <w:spacing w:after="120" w:line="317" w:lineRule="auto"/>
        <w:ind w:firstLine="420"/>
      </w:pPr>
      <w:r>
        <w:rPr>
          <w:rFonts w:ascii="Arial Unicode MS" w:hAnsi="Arial Unicode MS" w:eastAsia="Arial Unicode MS" w:hint="eastAsia"/>
          <w:color w:val="000000"/>
          <w:sz w:val="21"/>
          <w:lang w:val="zh-CN" w:eastAsia="zh-CN"/>
        </w:rPr>
        <w:t>当前模型是园区结构示意，没有证明与真实校园尺寸、管线、布水器和资产一一对应。分层高度与能流依据 Mock 快照生成，不可作为施工图、水力计算书或计量验收依据。</w:t>
      </w:r>
    </w:p>
    <w:p>
      <w:pPr>
        <w:pStyle w:val="Heading1"/>
        <w:keepNext/>
      </w:pPr>
      <w:r>
        <w:rPr>
          <w:rFonts w:ascii="Arial Unicode MS" w:hAnsi="Arial Unicode MS" w:eastAsia="Arial Unicode MS" w:hint="eastAsia"/>
          <w:b w:val="0"/>
          <w:color w:val="000000"/>
          <w:sz w:val="36"/>
          <w:lang w:val="zh-CN" w:eastAsia="zh-CN"/>
        </w:rPr>
        <w:t>6 软件架构与关键实现</w:t>
      </w:r>
    </w:p>
    <w:p>
      <w:pPr>
        <w:pStyle w:val="Heading2"/>
      </w:pPr>
      <w:r>
        <w:rPr>
          <w:rFonts w:ascii="Arial Unicode MS" w:hAnsi="Arial Unicode MS" w:eastAsia="Arial Unicode MS" w:hint="eastAsia"/>
          <w:b w:val="0"/>
          <w:color w:val="000000"/>
          <w:sz w:val="26"/>
          <w:lang w:val="zh-CN" w:eastAsia="zh-CN"/>
        </w:rPr>
        <w:t>6 1 数据链路</w:t>
      </w:r>
    </w:p>
    <w:p>
      <w:pPr>
        <w:spacing w:after="120" w:line="317" w:lineRule="auto"/>
        <w:ind w:firstLine="420"/>
      </w:pPr>
      <w:r>
        <w:rPr>
          <w:rFonts w:ascii="Arial Unicode MS" w:hAnsi="Arial Unicode MS" w:eastAsia="Arial Unicode MS" w:hint="eastAsia"/>
          <w:color w:val="000000"/>
          <w:sz w:val="21"/>
          <w:lang w:val="zh-CN" w:eastAsia="zh-CN"/>
        </w:rPr>
        <w:t>服务层在本地 Mock 与 HTTP 读取方式之间选择；Pinia 管理季节、场景、小时、设备选择、演示和告警；Vue 组件消费同一快照；ECharts 绘制电侧与热侧趋势；Three.js 将同一业务状态映射到空间场景。</w:t>
      </w:r>
    </w:p>
    <w:p>
      <w:pPr>
        <w:spacing w:before="80" w:after="60"/>
        <w:jc w:val="center"/>
      </w:pPr>
      <w:r>
        <w:drawing>
          <wp:inline xmlns:a="http://schemas.openxmlformats.org/drawingml/2006/main" xmlns:pic="http://schemas.openxmlformats.org/drawingml/2006/picture">
            <wp:extent cx="5760720" cy="2208276"/>
            <wp:docPr id="1" name="Picture 1" descr="EcoChill 前端数据与交互链路图" title="软件架构图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20827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after="160"/>
        <w:jc w:val="center"/>
      </w:pPr>
      <w:r>
        <w:rPr>
          <w:rFonts w:ascii="Arial Unicode MS" w:hAnsi="Arial Unicode MS" w:eastAsia="Arial Unicode MS" w:hint="eastAsia"/>
          <w:color w:val="404040"/>
          <w:sz w:val="18"/>
          <w:lang w:val="zh-CN" w:eastAsia="zh-CN"/>
        </w:rPr>
        <w:t>图 1　当前前端数据与交互链路</w:t>
      </w:r>
    </w:p>
    <w:p>
      <w:pPr>
        <w:pStyle w:val="Heading2"/>
      </w:pPr>
      <w:r>
        <w:rPr>
          <w:rFonts w:ascii="Arial Unicode MS" w:hAnsi="Arial Unicode MS" w:eastAsia="Arial Unicode MS" w:hint="eastAsia"/>
          <w:b w:val="0"/>
          <w:color w:val="000000"/>
          <w:sz w:val="26"/>
          <w:lang w:val="zh-CN" w:eastAsia="zh-CN"/>
        </w:rPr>
        <w:t>6 2 技术组成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</w:tblPr>
      <w:tblGrid>
        <w:gridCol w:w="3324"/>
        <w:gridCol w:w="3324"/>
        <w:gridCol w:w="3324"/>
      </w:tblGrid>
      <w:tr>
        <w:trPr>
          <w:cantSplit/>
          <w:tblHeader w:val="true"/>
        </w:trPr>
        <w:tc>
          <w:tcPr>
            <w:tcW w:type="dxa" w:w="3324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DCE6F1"/>
          </w:tcPr>
          <w:p>
            <w:pPr>
              <w:spacing w:after="0" w:line="269" w:lineRule="auto"/>
              <w:jc w:val="center"/>
            </w:pPr>
            <w:r>
              <w:rPr>
                <w:rFonts w:ascii="Arial Unicode MS" w:hAnsi="Arial Unicode MS" w:eastAsia="Arial Unicode MS" w:hint="eastAsia"/>
                <w:b/>
                <w:color w:val="000000"/>
                <w:sz w:val="18"/>
                <w:lang w:val="zh-CN" w:eastAsia="zh-CN"/>
              </w:rPr>
              <w:t>层次</w:t>
            </w:r>
          </w:p>
        </w:tc>
        <w:tc>
          <w:tcPr>
            <w:tcW w:type="dxa" w:w="3324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DCE6F1"/>
          </w:tcPr>
          <w:p>
            <w:pPr>
              <w:spacing w:after="0" w:line="269" w:lineRule="auto"/>
              <w:jc w:val="center"/>
            </w:pPr>
            <w:r>
              <w:rPr>
                <w:rFonts w:ascii="Arial Unicode MS" w:hAnsi="Arial Unicode MS" w:eastAsia="Arial Unicode MS" w:hint="eastAsia"/>
                <w:b/>
                <w:color w:val="000000"/>
                <w:sz w:val="18"/>
                <w:lang w:val="zh-CN" w:eastAsia="zh-CN"/>
              </w:rPr>
              <w:t>当前技术</w:t>
            </w:r>
          </w:p>
        </w:tc>
        <w:tc>
          <w:tcPr>
            <w:tcW w:type="dxa" w:w="3324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DCE6F1"/>
          </w:tcPr>
          <w:p>
            <w:pPr>
              <w:spacing w:after="0" w:line="269" w:lineRule="auto"/>
              <w:jc w:val="center"/>
            </w:pPr>
            <w:r>
              <w:rPr>
                <w:rFonts w:ascii="Arial Unicode MS" w:hAnsi="Arial Unicode MS" w:eastAsia="Arial Unicode MS" w:hint="eastAsia"/>
                <w:b/>
                <w:color w:val="000000"/>
                <w:sz w:val="18"/>
                <w:lang w:val="zh-CN" w:eastAsia="zh-CN"/>
              </w:rPr>
              <w:t>责任</w:t>
            </w:r>
          </w:p>
        </w:tc>
      </w:tr>
      <w:tr>
        <w:trPr>
          <w:cantSplit/>
        </w:trPr>
        <w:tc>
          <w:tcPr>
            <w:tcW w:type="dxa" w:w="3324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FFFFFF"/>
          </w:tcPr>
          <w:p>
            <w:pPr>
              <w:spacing w:after="0" w:line="269" w:lineRule="auto"/>
              <w:jc w:val="left"/>
            </w:pPr>
            <w:r>
              <w:rPr>
                <w:rFonts w:ascii="Arial Unicode MS" w:hAnsi="Arial Unicode MS" w:eastAsia="Arial Unicode MS" w:hint="eastAsia"/>
                <w:b w:val="0"/>
                <w:color w:val="000000"/>
                <w:sz w:val="18"/>
                <w:lang w:val="zh-CN" w:eastAsia="zh-CN"/>
              </w:rPr>
              <w:t>页面与样式</w:t>
            </w:r>
          </w:p>
        </w:tc>
        <w:tc>
          <w:tcPr>
            <w:tcW w:type="dxa" w:w="3324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FFFFFF"/>
          </w:tcPr>
          <w:p>
            <w:pPr>
              <w:spacing w:after="0" w:line="269" w:lineRule="auto"/>
              <w:jc w:val="left"/>
            </w:pPr>
            <w:r>
              <w:rPr>
                <w:rFonts w:ascii="Arial Unicode MS" w:hAnsi="Arial Unicode MS" w:eastAsia="Arial Unicode MS" w:hint="eastAsia"/>
                <w:b w:val="0"/>
                <w:color w:val="000000"/>
                <w:sz w:val="18"/>
                <w:lang w:val="zh-CN" w:eastAsia="zh-CN"/>
              </w:rPr>
              <w:t>Vue 3 TypeScript SCSS</w:t>
            </w:r>
          </w:p>
        </w:tc>
        <w:tc>
          <w:tcPr>
            <w:tcW w:type="dxa" w:w="3324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FFFFFF"/>
          </w:tcPr>
          <w:p>
            <w:pPr>
              <w:spacing w:after="0" w:line="269" w:lineRule="auto"/>
              <w:jc w:val="left"/>
            </w:pPr>
            <w:r>
              <w:rPr>
                <w:rFonts w:ascii="Arial Unicode MS" w:hAnsi="Arial Unicode MS" w:eastAsia="Arial Unicode MS" w:hint="eastAsia"/>
                <w:b w:val="0"/>
                <w:color w:val="000000"/>
                <w:sz w:val="18"/>
                <w:lang w:val="zh-CN" w:eastAsia="zh-CN"/>
              </w:rPr>
              <w:t>页面组织 组件交互 响应式布局</w:t>
            </w:r>
          </w:p>
        </w:tc>
      </w:tr>
      <w:tr>
        <w:trPr>
          <w:cantSplit/>
        </w:trPr>
        <w:tc>
          <w:tcPr>
            <w:tcW w:type="dxa" w:w="3324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F7F9FB"/>
          </w:tcPr>
          <w:p>
            <w:pPr>
              <w:spacing w:after="0" w:line="269" w:lineRule="auto"/>
              <w:jc w:val="left"/>
            </w:pPr>
            <w:r>
              <w:rPr>
                <w:rFonts w:ascii="Arial Unicode MS" w:hAnsi="Arial Unicode MS" w:eastAsia="Arial Unicode MS" w:hint="eastAsia"/>
                <w:b w:val="0"/>
                <w:color w:val="000000"/>
                <w:sz w:val="18"/>
                <w:lang w:val="zh-CN" w:eastAsia="zh-CN"/>
              </w:rPr>
              <w:t>构建与状态</w:t>
            </w:r>
          </w:p>
        </w:tc>
        <w:tc>
          <w:tcPr>
            <w:tcW w:type="dxa" w:w="3324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F7F9FB"/>
          </w:tcPr>
          <w:p>
            <w:pPr>
              <w:spacing w:after="0" w:line="269" w:lineRule="auto"/>
              <w:jc w:val="left"/>
            </w:pPr>
            <w:r>
              <w:rPr>
                <w:rFonts w:ascii="Arial Unicode MS" w:hAnsi="Arial Unicode MS" w:eastAsia="Arial Unicode MS" w:hint="eastAsia"/>
                <w:b w:val="0"/>
                <w:color w:val="000000"/>
                <w:sz w:val="18"/>
                <w:lang w:val="zh-CN" w:eastAsia="zh-CN"/>
              </w:rPr>
              <w:t>Vite Pinia</w:t>
            </w:r>
          </w:p>
        </w:tc>
        <w:tc>
          <w:tcPr>
            <w:tcW w:type="dxa" w:w="3324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F7F9FB"/>
          </w:tcPr>
          <w:p>
            <w:pPr>
              <w:spacing w:after="0" w:line="269" w:lineRule="auto"/>
              <w:jc w:val="left"/>
            </w:pPr>
            <w:r>
              <w:rPr>
                <w:rFonts w:ascii="Arial Unicode MS" w:hAnsi="Arial Unicode MS" w:eastAsia="Arial Unicode MS" w:hint="eastAsia"/>
                <w:b w:val="0"/>
                <w:color w:val="000000"/>
                <w:sz w:val="18"/>
                <w:lang w:val="zh-CN" w:eastAsia="zh-CN"/>
              </w:rPr>
              <w:t>开发构建 共享状态 最新请求保护</w:t>
            </w:r>
          </w:p>
        </w:tc>
      </w:tr>
      <w:tr>
        <w:trPr>
          <w:cantSplit/>
        </w:trPr>
        <w:tc>
          <w:tcPr>
            <w:tcW w:type="dxa" w:w="3324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FFFFFF"/>
          </w:tcPr>
          <w:p>
            <w:pPr>
              <w:spacing w:after="0" w:line="269" w:lineRule="auto"/>
              <w:jc w:val="left"/>
            </w:pPr>
            <w:r>
              <w:rPr>
                <w:rFonts w:ascii="Arial Unicode MS" w:hAnsi="Arial Unicode MS" w:eastAsia="Arial Unicode MS" w:hint="eastAsia"/>
                <w:b w:val="0"/>
                <w:color w:val="000000"/>
                <w:sz w:val="18"/>
                <w:lang w:val="zh-CN" w:eastAsia="zh-CN"/>
              </w:rPr>
              <w:t>领域计算</w:t>
            </w:r>
          </w:p>
        </w:tc>
        <w:tc>
          <w:tcPr>
            <w:tcW w:type="dxa" w:w="3324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FFFFFF"/>
          </w:tcPr>
          <w:p>
            <w:pPr>
              <w:spacing w:after="0" w:line="269" w:lineRule="auto"/>
              <w:jc w:val="left"/>
            </w:pPr>
            <w:r>
              <w:rPr>
                <w:rFonts w:ascii="Arial Unicode MS" w:hAnsi="Arial Unicode MS" w:eastAsia="Arial Unicode MS" w:hint="eastAsia"/>
                <w:b w:val="0"/>
                <w:color w:val="000000"/>
                <w:sz w:val="18"/>
                <w:lang w:val="zh-CN" w:eastAsia="zh-CN"/>
              </w:rPr>
              <w:t>TypeScript</w:t>
            </w:r>
          </w:p>
        </w:tc>
        <w:tc>
          <w:tcPr>
            <w:tcW w:type="dxa" w:w="3324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FFFFFF"/>
          </w:tcPr>
          <w:p>
            <w:pPr>
              <w:spacing w:after="0" w:line="269" w:lineRule="auto"/>
              <w:jc w:val="left"/>
            </w:pPr>
            <w:r>
              <w:rPr>
                <w:rFonts w:ascii="Arial Unicode MS" w:hAnsi="Arial Unicode MS" w:eastAsia="Arial Unicode MS" w:hint="eastAsia"/>
                <w:b w:val="0"/>
                <w:color w:val="000000"/>
                <w:sz w:val="18"/>
                <w:lang w:val="zh-CN" w:eastAsia="zh-CN"/>
              </w:rPr>
              <w:t>显热容量 小时递推 边界与互斥</w:t>
            </w:r>
          </w:p>
        </w:tc>
      </w:tr>
      <w:tr>
        <w:trPr>
          <w:cantSplit/>
        </w:trPr>
        <w:tc>
          <w:tcPr>
            <w:tcW w:type="dxa" w:w="3324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F7F9FB"/>
          </w:tcPr>
          <w:p>
            <w:pPr>
              <w:spacing w:after="0" w:line="269" w:lineRule="auto"/>
              <w:jc w:val="left"/>
            </w:pPr>
            <w:r>
              <w:rPr>
                <w:rFonts w:ascii="Arial Unicode MS" w:hAnsi="Arial Unicode MS" w:eastAsia="Arial Unicode MS" w:hint="eastAsia"/>
                <w:b w:val="0"/>
                <w:color w:val="000000"/>
                <w:sz w:val="18"/>
                <w:lang w:val="zh-CN" w:eastAsia="zh-CN"/>
              </w:rPr>
              <w:t>图表</w:t>
            </w:r>
          </w:p>
        </w:tc>
        <w:tc>
          <w:tcPr>
            <w:tcW w:type="dxa" w:w="3324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F7F9FB"/>
          </w:tcPr>
          <w:p>
            <w:pPr>
              <w:spacing w:after="0" w:line="269" w:lineRule="auto"/>
              <w:jc w:val="left"/>
            </w:pPr>
            <w:r>
              <w:rPr>
                <w:rFonts w:ascii="Arial Unicode MS" w:hAnsi="Arial Unicode MS" w:eastAsia="Arial Unicode MS" w:hint="eastAsia"/>
                <w:b w:val="0"/>
                <w:color w:val="000000"/>
                <w:sz w:val="18"/>
                <w:lang w:val="zh-CN" w:eastAsia="zh-CN"/>
              </w:rPr>
              <w:t>ECharts 5</w:t>
            </w:r>
          </w:p>
        </w:tc>
        <w:tc>
          <w:tcPr>
            <w:tcW w:type="dxa" w:w="3324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F7F9FB"/>
          </w:tcPr>
          <w:p>
            <w:pPr>
              <w:spacing w:after="0" w:line="269" w:lineRule="auto"/>
              <w:jc w:val="left"/>
            </w:pPr>
            <w:r>
              <w:rPr>
                <w:rFonts w:ascii="Arial Unicode MS" w:hAnsi="Arial Unicode MS" w:eastAsia="Arial Unicode MS" w:hint="eastAsia"/>
                <w:b w:val="0"/>
                <w:color w:val="000000"/>
                <w:sz w:val="18"/>
                <w:lang w:val="zh-CN" w:eastAsia="zh-CN"/>
              </w:rPr>
              <w:t>电功率 热负荷 蓄能 成本与减碳趋势</w:t>
            </w:r>
          </w:p>
        </w:tc>
      </w:tr>
      <w:tr>
        <w:trPr>
          <w:cantSplit/>
        </w:trPr>
        <w:tc>
          <w:tcPr>
            <w:tcW w:type="dxa" w:w="3324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FFFFFF"/>
          </w:tcPr>
          <w:p>
            <w:pPr>
              <w:spacing w:after="0" w:line="269" w:lineRule="auto"/>
              <w:jc w:val="left"/>
            </w:pPr>
            <w:r>
              <w:rPr>
                <w:rFonts w:ascii="Arial Unicode MS" w:hAnsi="Arial Unicode MS" w:eastAsia="Arial Unicode MS" w:hint="eastAsia"/>
                <w:b w:val="0"/>
                <w:color w:val="000000"/>
                <w:sz w:val="18"/>
                <w:lang w:val="zh-CN" w:eastAsia="zh-CN"/>
              </w:rPr>
              <w:t>三维</w:t>
            </w:r>
          </w:p>
        </w:tc>
        <w:tc>
          <w:tcPr>
            <w:tcW w:type="dxa" w:w="3324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FFFFFF"/>
          </w:tcPr>
          <w:p>
            <w:pPr>
              <w:spacing w:after="0" w:line="269" w:lineRule="auto"/>
              <w:jc w:val="left"/>
            </w:pPr>
            <w:r>
              <w:rPr>
                <w:rFonts w:ascii="Arial Unicode MS" w:hAnsi="Arial Unicode MS" w:eastAsia="Arial Unicode MS" w:hint="eastAsia"/>
                <w:b w:val="0"/>
                <w:color w:val="000000"/>
                <w:sz w:val="18"/>
                <w:lang w:val="zh-CN" w:eastAsia="zh-CN"/>
              </w:rPr>
              <w:t>Three.js 0.177</w:t>
            </w:r>
          </w:p>
        </w:tc>
        <w:tc>
          <w:tcPr>
            <w:tcW w:type="dxa" w:w="3324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FFFFFF"/>
          </w:tcPr>
          <w:p>
            <w:pPr>
              <w:spacing w:after="0" w:line="269" w:lineRule="auto"/>
              <w:jc w:val="left"/>
            </w:pPr>
            <w:r>
              <w:rPr>
                <w:rFonts w:ascii="Arial Unicode MS" w:hAnsi="Arial Unicode MS" w:eastAsia="Arial Unicode MS" w:hint="eastAsia"/>
                <w:b w:val="0"/>
                <w:color w:val="000000"/>
                <w:sz w:val="18"/>
                <w:lang w:val="zh-CN" w:eastAsia="zh-CN"/>
              </w:rPr>
              <w:t>园区 分层水罐 热量流 拾取与动画</w:t>
            </w:r>
          </w:p>
        </w:tc>
      </w:tr>
      <w:tr>
        <w:trPr>
          <w:cantSplit/>
        </w:trPr>
        <w:tc>
          <w:tcPr>
            <w:tcW w:type="dxa" w:w="3324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F7F9FB"/>
          </w:tcPr>
          <w:p>
            <w:pPr>
              <w:spacing w:after="0" w:line="269" w:lineRule="auto"/>
              <w:jc w:val="left"/>
            </w:pPr>
            <w:r>
              <w:rPr>
                <w:rFonts w:ascii="Arial Unicode MS" w:hAnsi="Arial Unicode MS" w:eastAsia="Arial Unicode MS" w:hint="eastAsia"/>
                <w:b w:val="0"/>
                <w:color w:val="000000"/>
                <w:sz w:val="18"/>
                <w:lang w:val="zh-CN" w:eastAsia="zh-CN"/>
              </w:rPr>
              <w:t>质量检查</w:t>
            </w:r>
          </w:p>
        </w:tc>
        <w:tc>
          <w:tcPr>
            <w:tcW w:type="dxa" w:w="3324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F7F9FB"/>
          </w:tcPr>
          <w:p>
            <w:pPr>
              <w:spacing w:after="0" w:line="269" w:lineRule="auto"/>
              <w:jc w:val="left"/>
            </w:pPr>
            <w:r>
              <w:rPr>
                <w:rFonts w:ascii="Arial Unicode MS" w:hAnsi="Arial Unicode MS" w:eastAsia="Arial Unicode MS" w:hint="eastAsia"/>
                <w:b w:val="0"/>
                <w:color w:val="000000"/>
                <w:sz w:val="18"/>
                <w:lang w:val="zh-CN" w:eastAsia="zh-CN"/>
              </w:rPr>
              <w:t>Vitest</w:t>
            </w:r>
          </w:p>
        </w:tc>
        <w:tc>
          <w:tcPr>
            <w:tcW w:type="dxa" w:w="3324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F7F9FB"/>
          </w:tcPr>
          <w:p>
            <w:pPr>
              <w:spacing w:after="0" w:line="269" w:lineRule="auto"/>
              <w:jc w:val="left"/>
            </w:pPr>
            <w:r>
              <w:rPr>
                <w:rFonts w:ascii="Arial Unicode MS" w:hAnsi="Arial Unicode MS" w:eastAsia="Arial Unicode MS" w:hint="eastAsia"/>
                <w:b w:val="0"/>
                <w:color w:val="000000"/>
                <w:sz w:val="18"/>
                <w:lang w:val="zh-CN" w:eastAsia="zh-CN"/>
              </w:rPr>
              <w:t>领域 Mock 与状态交互测试</w:t>
            </w:r>
          </w:p>
        </w:tc>
      </w:tr>
    </w:tbl>
    <w:p>
      <w:pPr>
        <w:spacing w:after="40"/>
      </w:pPr>
    </w:p>
    <w:p>
      <w:pPr>
        <w:pStyle w:val="Heading2"/>
      </w:pPr>
      <w:r>
        <w:rPr>
          <w:rFonts w:ascii="Arial Unicode MS" w:hAnsi="Arial Unicode MS" w:eastAsia="Arial Unicode MS" w:hint="eastAsia"/>
          <w:b w:val="0"/>
          <w:color w:val="000000"/>
          <w:sz w:val="26"/>
          <w:lang w:val="zh-CN" w:eastAsia="zh-CN"/>
        </w:rPr>
        <w:t>6 3 关键文件</w:t>
      </w:r>
    </w:p>
    <w:p>
      <w:pPr>
        <w:spacing w:after="120" w:line="317" w:lineRule="auto"/>
        <w:ind w:firstLine="420"/>
      </w:pPr>
      <w:r>
        <w:rPr>
          <w:rFonts w:ascii="Arial Unicode MS" w:hAnsi="Arial Unicode MS" w:eastAsia="Arial Unicode MS" w:hint="eastAsia"/>
          <w:color w:val="1F2937"/>
          <w:sz w:val="20"/>
          <w:lang w:val="zh-CN" w:eastAsia="zh-CN"/>
        </w:rPr>
        <w:t>src/domain/thermalStorage.ts</w:t>
      </w:r>
      <w:r>
        <w:rPr>
          <w:rFonts w:ascii="Arial Unicode MS" w:hAnsi="Arial Unicode MS" w:eastAsia="Arial Unicode MS" w:hint="eastAsia"/>
          <w:color w:val="000000"/>
          <w:sz w:val="21"/>
          <w:lang w:val="zh-CN" w:eastAsia="zh-CN"/>
        </w:rPr>
        <w:t xml:space="preserve"> 负责显热容量、小时能量递推、充放互斥、效率、损失和可用时长。</w:t>
      </w:r>
      <w:r>
        <w:rPr>
          <w:rFonts w:ascii="Arial Unicode MS" w:hAnsi="Arial Unicode MS" w:eastAsia="Arial Unicode MS" w:hint="eastAsia"/>
          <w:color w:val="1F2937"/>
          <w:sz w:val="20"/>
          <w:lang w:val="zh-CN" w:eastAsia="zh-CN"/>
        </w:rPr>
        <w:t>src/mock/energyMock.ts</w:t>
      </w:r>
      <w:r>
        <w:rPr>
          <w:rFonts w:ascii="Arial Unicode MS" w:hAnsi="Arial Unicode MS" w:eastAsia="Arial Unicode MS" w:hint="eastAsia"/>
          <w:color w:val="000000"/>
          <w:sz w:val="21"/>
          <w:lang w:val="zh-CN" w:eastAsia="zh-CN"/>
        </w:rPr>
        <w:t xml:space="preserve"> 生成制冷或供热模式下的逐时热负荷、两类充能窗口、电热平衡和经济指标。</w:t>
      </w:r>
      <w:r>
        <w:rPr>
          <w:rFonts w:ascii="Arial Unicode MS" w:hAnsi="Arial Unicode MS" w:eastAsia="Arial Unicode MS" w:hint="eastAsia"/>
          <w:color w:val="1F2937"/>
          <w:sz w:val="20"/>
          <w:lang w:val="zh-CN" w:eastAsia="zh-CN"/>
        </w:rPr>
        <w:t>src/types/energy.ts</w:t>
      </w:r>
      <w:r>
        <w:rPr>
          <w:rFonts w:ascii="Arial Unicode MS" w:hAnsi="Arial Unicode MS" w:eastAsia="Arial Unicode MS" w:hint="eastAsia"/>
          <w:color w:val="000000"/>
          <w:sz w:val="21"/>
          <w:lang w:val="zh-CN" w:eastAsia="zh-CN"/>
        </w:rPr>
        <w:t xml:space="preserve"> 明确电侧与热侧字段单位。</w:t>
      </w:r>
    </w:p>
    <w:p>
      <w:pPr>
        <w:spacing w:after="120" w:line="317" w:lineRule="auto"/>
        <w:ind w:firstLine="420"/>
      </w:pPr>
      <w:r>
        <w:rPr>
          <w:rFonts w:ascii="Arial Unicode MS" w:hAnsi="Arial Unicode MS" w:eastAsia="Arial Unicode MS" w:hint="eastAsia"/>
          <w:color w:val="1F2937"/>
          <w:sz w:val="20"/>
          <w:lang w:val="zh-CN" w:eastAsia="zh-CN"/>
        </w:rPr>
        <w:t>src/store/dashboard.ts</w:t>
      </w:r>
      <w:r>
        <w:rPr>
          <w:rFonts w:ascii="Arial Unicode MS" w:hAnsi="Arial Unicode MS" w:eastAsia="Arial Unicode MS" w:hint="eastAsia"/>
          <w:color w:val="000000"/>
          <w:sz w:val="21"/>
          <w:lang w:val="zh-CN" w:eastAsia="zh-CN"/>
        </w:rPr>
        <w:t xml:space="preserve"> 组织场景、季节、回放、设备详情和并发请求保护。</w:t>
      </w:r>
      <w:r>
        <w:rPr>
          <w:rFonts w:ascii="Arial Unicode MS" w:hAnsi="Arial Unicode MS" w:eastAsia="Arial Unicode MS" w:hint="eastAsia"/>
          <w:color w:val="1F2937"/>
          <w:sz w:val="20"/>
          <w:lang w:val="zh-CN" w:eastAsia="zh-CN"/>
        </w:rPr>
        <w:t>ThermalStoragePanel.vue</w:t>
      </w:r>
      <w:r>
        <w:rPr>
          <w:rFonts w:ascii="Arial Unicode MS" w:hAnsi="Arial Unicode MS" w:eastAsia="Arial Unicode MS" w:hint="eastAsia"/>
          <w:color w:val="000000"/>
          <w:sz w:val="21"/>
          <w:lang w:val="zh-CN" w:eastAsia="zh-CN"/>
        </w:rPr>
        <w:t xml:space="preserve"> 展示水罐指标；</w:t>
      </w:r>
      <w:r>
        <w:rPr>
          <w:rFonts w:ascii="Arial Unicode MS" w:hAnsi="Arial Unicode MS" w:eastAsia="Arial Unicode MS" w:hint="eastAsia"/>
          <w:color w:val="1F2937"/>
          <w:sz w:val="20"/>
          <w:lang w:val="zh-CN" w:eastAsia="zh-CN"/>
        </w:rPr>
        <w:t>ThermalLoadChart.vue</w:t>
      </w:r>
      <w:r>
        <w:rPr>
          <w:rFonts w:ascii="Arial Unicode MS" w:hAnsi="Arial Unicode MS" w:eastAsia="Arial Unicode MS" w:hint="eastAsia"/>
          <w:color w:val="000000"/>
          <w:sz w:val="21"/>
          <w:lang w:val="zh-CN" w:eastAsia="zh-CN"/>
        </w:rPr>
        <w:t xml:space="preserve"> 和 </w:t>
      </w:r>
      <w:r>
        <w:rPr>
          <w:rFonts w:ascii="Arial Unicode MS" w:hAnsi="Arial Unicode MS" w:eastAsia="Arial Unicode MS" w:hint="eastAsia"/>
          <w:color w:val="1F2937"/>
          <w:sz w:val="20"/>
          <w:lang w:val="zh-CN" w:eastAsia="zh-CN"/>
        </w:rPr>
        <w:t>ThermalStorageChart.vue</w:t>
      </w:r>
      <w:r>
        <w:rPr>
          <w:rFonts w:ascii="Arial Unicode MS" w:hAnsi="Arial Unicode MS" w:eastAsia="Arial Unicode MS" w:hint="eastAsia"/>
          <w:color w:val="000000"/>
          <w:sz w:val="21"/>
          <w:lang w:val="zh-CN" w:eastAsia="zh-CN"/>
        </w:rPr>
        <w:t xml:space="preserve"> 展示热侧趋势；</w:t>
      </w:r>
      <w:r>
        <w:rPr>
          <w:rFonts w:ascii="Arial Unicode MS" w:hAnsi="Arial Unicode MS" w:eastAsia="Arial Unicode MS" w:hint="eastAsia"/>
          <w:color w:val="1F2937"/>
          <w:sz w:val="20"/>
          <w:lang w:val="zh-CN" w:eastAsia="zh-CN"/>
        </w:rPr>
        <w:t>createEnergyScene.ts</w:t>
      </w:r>
      <w:r>
        <w:rPr>
          <w:rFonts w:ascii="Arial Unicode MS" w:hAnsi="Arial Unicode MS" w:eastAsia="Arial Unicode MS" w:hint="eastAsia"/>
          <w:color w:val="000000"/>
          <w:sz w:val="21"/>
          <w:lang w:val="zh-CN" w:eastAsia="zh-CN"/>
        </w:rPr>
        <w:t xml:space="preserve"> 构建分层水罐及热量流。</w:t>
      </w:r>
    </w:p>
    <w:p>
      <w:pPr>
        <w:pStyle w:val="Heading2"/>
      </w:pPr>
      <w:r>
        <w:rPr>
          <w:rFonts w:ascii="Arial Unicode MS" w:hAnsi="Arial Unicode MS" w:eastAsia="Arial Unicode MS" w:hint="eastAsia"/>
          <w:b w:val="0"/>
          <w:color w:val="000000"/>
          <w:sz w:val="26"/>
          <w:lang w:val="zh-CN" w:eastAsia="zh-CN"/>
        </w:rPr>
        <w:t>6 4 后端边界</w:t>
      </w:r>
    </w:p>
    <w:p>
      <w:pPr>
        <w:spacing w:after="120" w:line="317" w:lineRule="auto"/>
        <w:ind w:firstLine="420"/>
      </w:pPr>
      <w:r>
        <w:rPr>
          <w:rFonts w:ascii="Arial Unicode MS" w:hAnsi="Arial Unicode MS" w:eastAsia="Arial Unicode MS" w:hint="eastAsia"/>
          <w:color w:val="000000"/>
          <w:sz w:val="21"/>
          <w:lang w:val="zh-CN" w:eastAsia="zh-CN"/>
        </w:rPr>
        <w:t>仓库尚未包含生产服务端、时序数据库、真实采集控制或调度求解器。接入真实设备时，应把权威计量、预测、优化、权限、指令和回执放在可审计的服务端，前端只展示经过校验的状态与计划。</w:t>
      </w:r>
    </w:p>
    <w:p>
      <w:pPr>
        <w:pStyle w:val="Heading1"/>
        <w:keepNext/>
      </w:pPr>
      <w:r>
        <w:rPr>
          <w:rFonts w:ascii="Arial Unicode MS" w:hAnsi="Arial Unicode MS" w:eastAsia="Arial Unicode MS" w:hint="eastAsia"/>
          <w:b w:val="0"/>
          <w:color w:val="000000"/>
          <w:sz w:val="36"/>
          <w:lang w:val="zh-CN" w:eastAsia="zh-CN"/>
        </w:rPr>
        <w:t>7 数据模型与接口</w:t>
      </w:r>
    </w:p>
    <w:p>
      <w:pPr>
        <w:pStyle w:val="Heading2"/>
      </w:pPr>
      <w:r>
        <w:rPr>
          <w:rFonts w:ascii="Arial Unicode MS" w:hAnsi="Arial Unicode MS" w:eastAsia="Arial Unicode MS" w:hint="eastAsia"/>
          <w:b w:val="0"/>
          <w:color w:val="000000"/>
          <w:sz w:val="26"/>
          <w:lang w:val="zh-CN" w:eastAsia="zh-CN"/>
        </w:rPr>
        <w:t>7 1 核心对象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</w:tblPr>
      <w:tblGrid>
        <w:gridCol w:w="3324"/>
        <w:gridCol w:w="3324"/>
        <w:gridCol w:w="3324"/>
      </w:tblGrid>
      <w:tr>
        <w:trPr>
          <w:cantSplit/>
          <w:tblHeader w:val="true"/>
        </w:trPr>
        <w:tc>
          <w:tcPr>
            <w:tcW w:type="dxa" w:w="3324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DCE6F1"/>
          </w:tcPr>
          <w:p>
            <w:pPr>
              <w:spacing w:after="0" w:line="269" w:lineRule="auto"/>
              <w:jc w:val="center"/>
            </w:pPr>
            <w:r>
              <w:rPr>
                <w:rFonts w:ascii="Arial Unicode MS" w:hAnsi="Arial Unicode MS" w:eastAsia="Arial Unicode MS" w:hint="eastAsia"/>
                <w:b/>
                <w:color w:val="000000"/>
                <w:sz w:val="18"/>
                <w:lang w:val="zh-CN" w:eastAsia="zh-CN"/>
              </w:rPr>
              <w:t>对象</w:t>
            </w:r>
          </w:p>
        </w:tc>
        <w:tc>
          <w:tcPr>
            <w:tcW w:type="dxa" w:w="3324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DCE6F1"/>
          </w:tcPr>
          <w:p>
            <w:pPr>
              <w:spacing w:after="0" w:line="269" w:lineRule="auto"/>
              <w:jc w:val="center"/>
            </w:pPr>
            <w:r>
              <w:rPr>
                <w:rFonts w:ascii="Arial Unicode MS" w:hAnsi="Arial Unicode MS" w:eastAsia="Arial Unicode MS" w:hint="eastAsia"/>
                <w:b/>
                <w:color w:val="000000"/>
                <w:sz w:val="18"/>
                <w:lang w:val="zh-CN" w:eastAsia="zh-CN"/>
              </w:rPr>
              <w:t>主要字段</w:t>
            </w:r>
          </w:p>
        </w:tc>
        <w:tc>
          <w:tcPr>
            <w:tcW w:type="dxa" w:w="3324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DCE6F1"/>
          </w:tcPr>
          <w:p>
            <w:pPr>
              <w:spacing w:after="0" w:line="269" w:lineRule="auto"/>
              <w:jc w:val="center"/>
            </w:pPr>
            <w:r>
              <w:rPr>
                <w:rFonts w:ascii="Arial Unicode MS" w:hAnsi="Arial Unicode MS" w:eastAsia="Arial Unicode MS" w:hint="eastAsia"/>
                <w:b/>
                <w:color w:val="000000"/>
                <w:sz w:val="18"/>
                <w:lang w:val="zh-CN" w:eastAsia="zh-CN"/>
              </w:rPr>
              <w:t>当前用途</w:t>
            </w:r>
          </w:p>
        </w:tc>
      </w:tr>
      <w:tr>
        <w:trPr>
          <w:cantSplit/>
        </w:trPr>
        <w:tc>
          <w:tcPr>
            <w:tcW w:type="dxa" w:w="3324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FFFFFF"/>
          </w:tcPr>
          <w:p>
            <w:pPr>
              <w:spacing w:after="0" w:line="269" w:lineRule="auto"/>
              <w:jc w:val="left"/>
            </w:pPr>
            <w:r>
              <w:rPr>
                <w:rFonts w:ascii="Arial Unicode MS" w:hAnsi="Arial Unicode MS" w:eastAsia="Arial Unicode MS" w:hint="eastAsia"/>
                <w:b w:val="0"/>
                <w:color w:val="000000"/>
                <w:sz w:val="18"/>
                <w:lang w:val="zh-CN" w:eastAsia="zh-CN"/>
              </w:rPr>
              <w:t>ThermalStorageMetrics</w:t>
            </w:r>
          </w:p>
        </w:tc>
        <w:tc>
          <w:tcPr>
            <w:tcW w:type="dxa" w:w="3324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FFFFFF"/>
          </w:tcPr>
          <w:p>
            <w:pPr>
              <w:spacing w:after="0" w:line="269" w:lineRule="auto"/>
              <w:jc w:val="left"/>
            </w:pPr>
            <w:r>
              <w:rPr>
                <w:rFonts w:ascii="Arial Unicode MS" w:hAnsi="Arial Unicode MS" w:eastAsia="Arial Unicode MS" w:hint="eastAsia"/>
                <w:b w:val="0"/>
                <w:color w:val="000000"/>
                <w:sz w:val="18"/>
                <w:lang w:val="zh-CN" w:eastAsia="zh-CN"/>
              </w:rPr>
              <w:t>模式 状态 容量 剩余量 水位 充放功率 温度 可用时长</w:t>
            </w:r>
          </w:p>
        </w:tc>
        <w:tc>
          <w:tcPr>
            <w:tcW w:type="dxa" w:w="3324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FFFFFF"/>
          </w:tcPr>
          <w:p>
            <w:pPr>
              <w:spacing w:after="0" w:line="269" w:lineRule="auto"/>
              <w:jc w:val="left"/>
            </w:pPr>
            <w:r>
              <w:rPr>
                <w:rFonts w:ascii="Arial Unicode MS" w:hAnsi="Arial Unicode MS" w:eastAsia="Arial Unicode MS" w:hint="eastAsia"/>
                <w:b w:val="0"/>
                <w:color w:val="000000"/>
                <w:sz w:val="18"/>
                <w:lang w:val="zh-CN" w:eastAsia="zh-CN"/>
              </w:rPr>
              <w:t>面板 详情 三维状态</w:t>
            </w:r>
          </w:p>
        </w:tc>
      </w:tr>
      <w:tr>
        <w:trPr>
          <w:cantSplit/>
        </w:trPr>
        <w:tc>
          <w:tcPr>
            <w:tcW w:type="dxa" w:w="3324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F7F9FB"/>
          </w:tcPr>
          <w:p>
            <w:pPr>
              <w:spacing w:after="0" w:line="269" w:lineRule="auto"/>
              <w:jc w:val="left"/>
            </w:pPr>
            <w:r>
              <w:rPr>
                <w:rFonts w:ascii="Arial Unicode MS" w:hAnsi="Arial Unicode MS" w:eastAsia="Arial Unicode MS" w:hint="eastAsia"/>
                <w:b w:val="0"/>
                <w:color w:val="000000"/>
                <w:sz w:val="18"/>
                <w:lang w:val="zh-CN" w:eastAsia="zh-CN"/>
              </w:rPr>
              <w:t>HourlyPoint</w:t>
            </w:r>
          </w:p>
        </w:tc>
        <w:tc>
          <w:tcPr>
            <w:tcW w:type="dxa" w:w="3324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F7F9FB"/>
          </w:tcPr>
          <w:p>
            <w:pPr>
              <w:spacing w:after="0" w:line="269" w:lineRule="auto"/>
              <w:jc w:val="left"/>
            </w:pPr>
            <w:r>
              <w:rPr>
                <w:rFonts w:ascii="Arial Unicode MS" w:hAnsi="Arial Unicode MS" w:eastAsia="Arial Unicode MS" w:hint="eastAsia"/>
                <w:b w:val="0"/>
                <w:color w:val="000000"/>
                <w:sz w:val="18"/>
                <w:lang w:val="zh-CN" w:eastAsia="zh-CN"/>
              </w:rPr>
              <w:t>光伏 基础负荷 机组与水泵电功率 进出口功率 热负荷 充放热功率 储能量 总体节费 水蓄能节费</w:t>
            </w:r>
          </w:p>
        </w:tc>
        <w:tc>
          <w:tcPr>
            <w:tcW w:type="dxa" w:w="3324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F7F9FB"/>
          </w:tcPr>
          <w:p>
            <w:pPr>
              <w:spacing w:after="0" w:line="269" w:lineRule="auto"/>
              <w:jc w:val="left"/>
            </w:pPr>
            <w:r>
              <w:rPr>
                <w:rFonts w:ascii="Arial Unicode MS" w:hAnsi="Arial Unicode MS" w:eastAsia="Arial Unicode MS" w:hint="eastAsia"/>
                <w:b w:val="0"/>
                <w:color w:val="000000"/>
                <w:sz w:val="18"/>
                <w:lang w:val="zh-CN" w:eastAsia="zh-CN"/>
              </w:rPr>
              <w:t>24 小时曲线 回放与核算</w:t>
            </w:r>
          </w:p>
        </w:tc>
      </w:tr>
      <w:tr>
        <w:trPr>
          <w:cantSplit/>
        </w:trPr>
        <w:tc>
          <w:tcPr>
            <w:tcW w:type="dxa" w:w="3324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FFFFFF"/>
          </w:tcPr>
          <w:p>
            <w:pPr>
              <w:spacing w:after="0" w:line="269" w:lineRule="auto"/>
              <w:jc w:val="left"/>
            </w:pPr>
            <w:r>
              <w:rPr>
                <w:rFonts w:ascii="Arial Unicode MS" w:hAnsi="Arial Unicode MS" w:eastAsia="Arial Unicode MS" w:hint="eastAsia"/>
                <w:b w:val="0"/>
                <w:color w:val="000000"/>
                <w:sz w:val="18"/>
                <w:lang w:val="zh-CN" w:eastAsia="zh-CN"/>
              </w:rPr>
              <w:t>LiveDashboardSnapshot</w:t>
            </w:r>
          </w:p>
        </w:tc>
        <w:tc>
          <w:tcPr>
            <w:tcW w:type="dxa" w:w="3324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FFFFFF"/>
          </w:tcPr>
          <w:p>
            <w:pPr>
              <w:spacing w:after="0" w:line="269" w:lineRule="auto"/>
              <w:jc w:val="left"/>
            </w:pPr>
            <w:r>
              <w:rPr>
                <w:rFonts w:ascii="Arial Unicode MS" w:hAnsi="Arial Unicode MS" w:eastAsia="Arial Unicode MS" w:hint="eastAsia"/>
                <w:b w:val="0"/>
                <w:color w:val="000000"/>
                <w:sz w:val="18"/>
                <w:lang w:val="zh-CN" w:eastAsia="zh-CN"/>
              </w:rPr>
              <w:t>当前小时指标 设备和建议</w:t>
            </w:r>
          </w:p>
        </w:tc>
        <w:tc>
          <w:tcPr>
            <w:tcW w:type="dxa" w:w="3324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FFFFFF"/>
          </w:tcPr>
          <w:p>
            <w:pPr>
              <w:spacing w:after="0" w:line="269" w:lineRule="auto"/>
              <w:jc w:val="left"/>
            </w:pPr>
            <w:r>
              <w:rPr>
                <w:rFonts w:ascii="Arial Unicode MS" w:hAnsi="Arial Unicode MS" w:eastAsia="Arial Unicode MS" w:hint="eastAsia"/>
                <w:b w:val="0"/>
                <w:color w:val="000000"/>
                <w:sz w:val="18"/>
                <w:lang w:val="zh-CN" w:eastAsia="zh-CN"/>
              </w:rPr>
              <w:t>面板 图表 三维联动</w:t>
            </w:r>
          </w:p>
        </w:tc>
      </w:tr>
      <w:tr>
        <w:trPr>
          <w:cantSplit/>
        </w:trPr>
        <w:tc>
          <w:tcPr>
            <w:tcW w:type="dxa" w:w="3324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F7F9FB"/>
          </w:tcPr>
          <w:p>
            <w:pPr>
              <w:spacing w:after="0" w:line="269" w:lineRule="auto"/>
              <w:jc w:val="left"/>
            </w:pPr>
            <w:r>
              <w:rPr>
                <w:rFonts w:ascii="Arial Unicode MS" w:hAnsi="Arial Unicode MS" w:eastAsia="Arial Unicode MS" w:hint="eastAsia"/>
                <w:b w:val="0"/>
                <w:color w:val="000000"/>
                <w:sz w:val="18"/>
                <w:lang w:val="zh-CN" w:eastAsia="zh-CN"/>
              </w:rPr>
              <w:t>SystemNodeStatus</w:t>
            </w:r>
          </w:p>
        </w:tc>
        <w:tc>
          <w:tcPr>
            <w:tcW w:type="dxa" w:w="3324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F7F9FB"/>
          </w:tcPr>
          <w:p>
            <w:pPr>
              <w:spacing w:after="0" w:line="269" w:lineRule="auto"/>
              <w:jc w:val="left"/>
            </w:pPr>
            <w:r>
              <w:rPr>
                <w:rFonts w:ascii="Arial Unicode MS" w:hAnsi="Arial Unicode MS" w:eastAsia="Arial Unicode MS" w:hint="eastAsia"/>
                <w:b w:val="0"/>
                <w:color w:val="000000"/>
                <w:sz w:val="18"/>
                <w:lang w:val="zh-CN" w:eastAsia="zh-CN"/>
              </w:rPr>
              <w:t>设备标识 kW 或 kWth 状态与说明</w:t>
            </w:r>
          </w:p>
        </w:tc>
        <w:tc>
          <w:tcPr>
            <w:tcW w:type="dxa" w:w="3324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F7F9FB"/>
          </w:tcPr>
          <w:p>
            <w:pPr>
              <w:spacing w:after="0" w:line="269" w:lineRule="auto"/>
              <w:jc w:val="left"/>
            </w:pPr>
            <w:r>
              <w:rPr>
                <w:rFonts w:ascii="Arial Unicode MS" w:hAnsi="Arial Unicode MS" w:eastAsia="Arial Unicode MS" w:hint="eastAsia"/>
                <w:b w:val="0"/>
                <w:color w:val="000000"/>
                <w:sz w:val="18"/>
                <w:lang w:val="zh-CN" w:eastAsia="zh-CN"/>
              </w:rPr>
              <w:t>孪生设备详情</w:t>
            </w:r>
          </w:p>
        </w:tc>
      </w:tr>
      <w:tr>
        <w:trPr>
          <w:cantSplit/>
        </w:trPr>
        <w:tc>
          <w:tcPr>
            <w:tcW w:type="dxa" w:w="3324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FFFFFF"/>
          </w:tcPr>
          <w:p>
            <w:pPr>
              <w:spacing w:after="0" w:line="269" w:lineRule="auto"/>
              <w:jc w:val="left"/>
            </w:pPr>
            <w:r>
              <w:rPr>
                <w:rFonts w:ascii="Arial Unicode MS" w:hAnsi="Arial Unicode MS" w:eastAsia="Arial Unicode MS" w:hint="eastAsia"/>
                <w:b w:val="0"/>
                <w:color w:val="000000"/>
                <w:sz w:val="18"/>
                <w:lang w:val="zh-CN" w:eastAsia="zh-CN"/>
              </w:rPr>
              <w:t>SystemAlert</w:t>
            </w:r>
          </w:p>
        </w:tc>
        <w:tc>
          <w:tcPr>
            <w:tcW w:type="dxa" w:w="3324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FFFFFF"/>
          </w:tcPr>
          <w:p>
            <w:pPr>
              <w:spacing w:after="0" w:line="269" w:lineRule="auto"/>
              <w:jc w:val="left"/>
            </w:pPr>
            <w:r>
              <w:rPr>
                <w:rFonts w:ascii="Arial Unicode MS" w:hAnsi="Arial Unicode MS" w:eastAsia="Arial Unicode MS" w:hint="eastAsia"/>
                <w:b w:val="0"/>
                <w:color w:val="000000"/>
                <w:sz w:val="18"/>
                <w:lang w:val="zh-CN" w:eastAsia="zh-CN"/>
              </w:rPr>
              <w:t>等级 设备 指标 建议</w:t>
            </w:r>
          </w:p>
        </w:tc>
        <w:tc>
          <w:tcPr>
            <w:tcW w:type="dxa" w:w="3324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FFFFFF"/>
          </w:tcPr>
          <w:p>
            <w:pPr>
              <w:spacing w:after="0" w:line="269" w:lineRule="auto"/>
              <w:jc w:val="left"/>
            </w:pPr>
            <w:r>
              <w:rPr>
                <w:rFonts w:ascii="Arial Unicode MS" w:hAnsi="Arial Unicode MS" w:eastAsia="Arial Unicode MS" w:hint="eastAsia"/>
                <w:b w:val="0"/>
                <w:color w:val="000000"/>
                <w:sz w:val="18"/>
                <w:lang w:val="zh-CN" w:eastAsia="zh-CN"/>
              </w:rPr>
              <w:t>告警筛选 定位与详情</w:t>
            </w:r>
          </w:p>
        </w:tc>
      </w:tr>
      <w:tr>
        <w:trPr>
          <w:cantSplit/>
        </w:trPr>
        <w:tc>
          <w:tcPr>
            <w:tcW w:type="dxa" w:w="3324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F7F9FB"/>
          </w:tcPr>
          <w:p>
            <w:pPr>
              <w:spacing w:after="0" w:line="269" w:lineRule="auto"/>
              <w:jc w:val="left"/>
            </w:pPr>
            <w:r>
              <w:rPr>
                <w:rFonts w:ascii="Arial Unicode MS" w:hAnsi="Arial Unicode MS" w:eastAsia="Arial Unicode MS" w:hint="eastAsia"/>
                <w:b w:val="0"/>
                <w:color w:val="000000"/>
                <w:sz w:val="18"/>
                <w:lang w:val="zh-CN" w:eastAsia="zh-CN"/>
              </w:rPr>
              <w:t>AiDecisionOutput</w:t>
            </w:r>
          </w:p>
        </w:tc>
        <w:tc>
          <w:tcPr>
            <w:tcW w:type="dxa" w:w="3324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F7F9FB"/>
          </w:tcPr>
          <w:p>
            <w:pPr>
              <w:spacing w:after="0" w:line="269" w:lineRule="auto"/>
              <w:jc w:val="left"/>
            </w:pPr>
            <w:r>
              <w:rPr>
                <w:rFonts w:ascii="Arial Unicode MS" w:hAnsi="Arial Unicode MS" w:eastAsia="Arial Unicode MS" w:hint="eastAsia"/>
                <w:b w:val="0"/>
                <w:color w:val="000000"/>
                <w:sz w:val="18"/>
                <w:lang w:val="zh-CN" w:eastAsia="zh-CN"/>
              </w:rPr>
              <w:t>建议 规则评分 预期收益 时间轴</w:t>
            </w:r>
          </w:p>
        </w:tc>
        <w:tc>
          <w:tcPr>
            <w:tcW w:type="dxa" w:w="3324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F7F9FB"/>
          </w:tcPr>
          <w:p>
            <w:pPr>
              <w:spacing w:after="0" w:line="269" w:lineRule="auto"/>
              <w:jc w:val="left"/>
            </w:pPr>
            <w:r>
              <w:rPr>
                <w:rFonts w:ascii="Arial Unicode MS" w:hAnsi="Arial Unicode MS" w:eastAsia="Arial Unicode MS" w:hint="eastAsia"/>
                <w:b w:val="0"/>
                <w:color w:val="000000"/>
                <w:sz w:val="18"/>
                <w:lang w:val="zh-CN" w:eastAsia="zh-CN"/>
              </w:rPr>
              <w:t>策略解释与演示</w:t>
            </w:r>
          </w:p>
        </w:tc>
      </w:tr>
    </w:tbl>
    <w:p>
      <w:pPr>
        <w:spacing w:after="40"/>
      </w:pPr>
    </w:p>
    <w:p>
      <w:pPr>
        <w:pStyle w:val="Heading2"/>
      </w:pPr>
      <w:r>
        <w:rPr>
          <w:rFonts w:ascii="Arial Unicode MS" w:hAnsi="Arial Unicode MS" w:eastAsia="Arial Unicode MS" w:hint="eastAsia"/>
          <w:b w:val="0"/>
          <w:color w:val="000000"/>
          <w:sz w:val="26"/>
          <w:lang w:val="zh-CN" w:eastAsia="zh-CN"/>
        </w:rPr>
        <w:t>7 2 HTTP 读取契约</w:t>
      </w:r>
    </w:p>
    <w:p>
      <w:pPr>
        <w:spacing w:after="120" w:line="317" w:lineRule="auto"/>
        <w:ind w:firstLine="420"/>
      </w:pPr>
      <w:r>
        <w:rPr>
          <w:rFonts w:ascii="Arial Unicode MS" w:hAnsi="Arial Unicode MS" w:eastAsia="Arial Unicode MS" w:hint="eastAsia"/>
          <w:color w:val="000000"/>
          <w:sz w:val="21"/>
          <w:lang w:val="zh-CN" w:eastAsia="zh-CN"/>
        </w:rPr>
        <w:t xml:space="preserve">接口基地址由 </w:t>
      </w:r>
      <w:r>
        <w:rPr>
          <w:rFonts w:ascii="Arial Unicode MS" w:hAnsi="Arial Unicode MS" w:eastAsia="Arial Unicode MS" w:hint="eastAsia"/>
          <w:color w:val="1F2937"/>
          <w:sz w:val="20"/>
          <w:lang w:val="zh-CN" w:eastAsia="zh-CN"/>
        </w:rPr>
        <w:t>VITE_DASHBOARD_API_BASE</w:t>
      </w:r>
      <w:r>
        <w:rPr>
          <w:rFonts w:ascii="Arial Unicode MS" w:hAnsi="Arial Unicode MS" w:eastAsia="Arial Unicode MS" w:hint="eastAsia"/>
          <w:color w:val="000000"/>
          <w:sz w:val="21"/>
          <w:lang w:val="zh-CN" w:eastAsia="zh-CN"/>
        </w:rPr>
        <w:t xml:space="preserve"> 指定，默认 </w:t>
      </w:r>
      <w:r>
        <w:rPr>
          <w:rFonts w:ascii="Arial Unicode MS" w:hAnsi="Arial Unicode MS" w:eastAsia="Arial Unicode MS" w:hint="eastAsia"/>
          <w:color w:val="1F2937"/>
          <w:sz w:val="20"/>
          <w:lang w:val="zh-CN" w:eastAsia="zh-CN"/>
        </w:rPr>
        <w:t>/api</w:t>
      </w:r>
      <w:r>
        <w:rPr>
          <w:rFonts w:ascii="Arial Unicode MS" w:hAnsi="Arial Unicode MS" w:eastAsia="Arial Unicode MS" w:hint="eastAsia"/>
          <w:color w:val="000000"/>
          <w:sz w:val="21"/>
          <w:lang w:val="zh-CN" w:eastAsia="zh-CN"/>
        </w:rPr>
        <w:t xml:space="preserve">。只有 </w:t>
      </w:r>
      <w:r>
        <w:rPr>
          <w:rFonts w:ascii="Arial Unicode MS" w:hAnsi="Arial Unicode MS" w:eastAsia="Arial Unicode MS" w:hint="eastAsia"/>
          <w:color w:val="1F2937"/>
          <w:sz w:val="20"/>
          <w:lang w:val="zh-CN" w:eastAsia="zh-CN"/>
        </w:rPr>
        <w:t>VITE_DASHBOARD_DATA_SOURCE=api</w:t>
      </w:r>
      <w:r>
        <w:rPr>
          <w:rFonts w:ascii="Arial Unicode MS" w:hAnsi="Arial Unicode MS" w:eastAsia="Arial Unicode MS" w:hint="eastAsia"/>
          <w:color w:val="000000"/>
          <w:sz w:val="21"/>
          <w:lang w:val="zh-CN" w:eastAsia="zh-CN"/>
        </w:rPr>
        <w:t xml:space="preserve"> 时启用 HTTP 适配器，否则使用 Mock。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</w:tblPr>
      <w:tblGrid>
        <w:gridCol w:w="3324"/>
        <w:gridCol w:w="3324"/>
        <w:gridCol w:w="3324"/>
      </w:tblGrid>
      <w:tr>
        <w:trPr>
          <w:cantSplit/>
          <w:tblHeader w:val="true"/>
        </w:trPr>
        <w:tc>
          <w:tcPr>
            <w:tcW w:type="dxa" w:w="3324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DCE6F1"/>
          </w:tcPr>
          <w:p>
            <w:pPr>
              <w:spacing w:after="0" w:line="269" w:lineRule="auto"/>
              <w:jc w:val="center"/>
            </w:pPr>
            <w:r>
              <w:rPr>
                <w:rFonts w:ascii="Arial Unicode MS" w:hAnsi="Arial Unicode MS" w:eastAsia="Arial Unicode MS" w:hint="eastAsia"/>
                <w:b/>
                <w:color w:val="000000"/>
                <w:sz w:val="18"/>
                <w:lang w:val="zh-CN" w:eastAsia="zh-CN"/>
              </w:rPr>
              <w:t>方法</w:t>
            </w:r>
          </w:p>
        </w:tc>
        <w:tc>
          <w:tcPr>
            <w:tcW w:type="dxa" w:w="3324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DCE6F1"/>
          </w:tcPr>
          <w:p>
            <w:pPr>
              <w:spacing w:after="0" w:line="269" w:lineRule="auto"/>
              <w:jc w:val="center"/>
            </w:pPr>
            <w:r>
              <w:rPr>
                <w:rFonts w:ascii="Arial Unicode MS" w:hAnsi="Arial Unicode MS" w:eastAsia="Arial Unicode MS" w:hint="eastAsia"/>
                <w:b/>
                <w:color w:val="000000"/>
                <w:sz w:val="18"/>
                <w:lang w:val="zh-CN" w:eastAsia="zh-CN"/>
              </w:rPr>
              <w:t>路径</w:t>
            </w:r>
          </w:p>
        </w:tc>
        <w:tc>
          <w:tcPr>
            <w:tcW w:type="dxa" w:w="3324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DCE6F1"/>
          </w:tcPr>
          <w:p>
            <w:pPr>
              <w:spacing w:after="0" w:line="269" w:lineRule="auto"/>
              <w:jc w:val="center"/>
            </w:pPr>
            <w:r>
              <w:rPr>
                <w:rFonts w:ascii="Arial Unicode MS" w:hAnsi="Arial Unicode MS" w:eastAsia="Arial Unicode MS" w:hint="eastAsia"/>
                <w:b/>
                <w:color w:val="000000"/>
                <w:sz w:val="18"/>
                <w:lang w:val="zh-CN" w:eastAsia="zh-CN"/>
              </w:rPr>
              <w:t>响应</w:t>
            </w:r>
          </w:p>
        </w:tc>
      </w:tr>
      <w:tr>
        <w:trPr>
          <w:cantSplit/>
        </w:trPr>
        <w:tc>
          <w:tcPr>
            <w:tcW w:type="dxa" w:w="3324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FFFFFF"/>
          </w:tcPr>
          <w:p>
            <w:pPr>
              <w:spacing w:after="0" w:line="269" w:lineRule="auto"/>
              <w:jc w:val="left"/>
            </w:pPr>
            <w:r>
              <w:rPr>
                <w:rFonts w:ascii="Arial Unicode MS" w:hAnsi="Arial Unicode MS" w:eastAsia="Arial Unicode MS" w:hint="eastAsia"/>
                <w:b w:val="0"/>
                <w:color w:val="000000"/>
                <w:sz w:val="18"/>
                <w:lang w:val="zh-CN" w:eastAsia="zh-CN"/>
              </w:rPr>
              <w:t>GET</w:t>
            </w:r>
          </w:p>
        </w:tc>
        <w:tc>
          <w:tcPr>
            <w:tcW w:type="dxa" w:w="3324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FFFFFF"/>
          </w:tcPr>
          <w:p>
            <w:pPr>
              <w:spacing w:after="0" w:line="269" w:lineRule="auto"/>
              <w:jc w:val="left"/>
            </w:pPr>
            <w:r>
              <w:rPr>
                <w:rFonts w:ascii="Arial Unicode MS" w:hAnsi="Arial Unicode MS" w:eastAsia="Arial Unicode MS" w:hint="eastAsia"/>
                <w:b w:val="0"/>
                <w:color w:val="000000"/>
                <w:sz w:val="18"/>
                <w:lang w:val="zh-CN" w:eastAsia="zh-CN"/>
              </w:rPr>
              <w:t>/dashboard/scenario?mode=normal&amp;operationMode=cooling</w:t>
            </w:r>
          </w:p>
        </w:tc>
        <w:tc>
          <w:tcPr>
            <w:tcW w:type="dxa" w:w="3324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FFFFFF"/>
          </w:tcPr>
          <w:p>
            <w:pPr>
              <w:spacing w:after="0" w:line="269" w:lineRule="auto"/>
              <w:jc w:val="left"/>
            </w:pPr>
            <w:r>
              <w:rPr>
                <w:rFonts w:ascii="Arial Unicode MS" w:hAnsi="Arial Unicode MS" w:eastAsia="Arial Unicode MS" w:hint="eastAsia"/>
                <w:b w:val="0"/>
                <w:color w:val="000000"/>
                <w:sz w:val="18"/>
                <w:lang w:val="zh-CN" w:eastAsia="zh-CN"/>
              </w:rPr>
              <w:t>DashboardScenarioData</w:t>
            </w:r>
          </w:p>
        </w:tc>
      </w:tr>
      <w:tr>
        <w:trPr>
          <w:cantSplit/>
        </w:trPr>
        <w:tc>
          <w:tcPr>
            <w:tcW w:type="dxa" w:w="3324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F7F9FB"/>
          </w:tcPr>
          <w:p>
            <w:pPr>
              <w:spacing w:after="0" w:line="269" w:lineRule="auto"/>
              <w:jc w:val="left"/>
            </w:pPr>
            <w:r>
              <w:rPr>
                <w:rFonts w:ascii="Arial Unicode MS" w:hAnsi="Arial Unicode MS" w:eastAsia="Arial Unicode MS" w:hint="eastAsia"/>
                <w:b w:val="0"/>
                <w:color w:val="000000"/>
                <w:sz w:val="18"/>
                <w:lang w:val="zh-CN" w:eastAsia="zh-CN"/>
              </w:rPr>
              <w:t>GET</w:t>
            </w:r>
          </w:p>
        </w:tc>
        <w:tc>
          <w:tcPr>
            <w:tcW w:type="dxa" w:w="3324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F7F9FB"/>
          </w:tcPr>
          <w:p>
            <w:pPr>
              <w:spacing w:after="0" w:line="269" w:lineRule="auto"/>
              <w:jc w:val="left"/>
            </w:pPr>
            <w:r>
              <w:rPr>
                <w:rFonts w:ascii="Arial Unicode MS" w:hAnsi="Arial Unicode MS" w:eastAsia="Arial Unicode MS" w:hint="eastAsia"/>
                <w:b w:val="0"/>
                <w:color w:val="000000"/>
                <w:sz w:val="18"/>
                <w:lang w:val="zh-CN" w:eastAsia="zh-CN"/>
              </w:rPr>
              <w:t>/dashboard/presentation</w:t>
            </w:r>
          </w:p>
        </w:tc>
        <w:tc>
          <w:tcPr>
            <w:tcW w:type="dxa" w:w="3324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F7F9FB"/>
          </w:tcPr>
          <w:p>
            <w:pPr>
              <w:spacing w:after="0" w:line="269" w:lineRule="auto"/>
              <w:jc w:val="left"/>
            </w:pPr>
            <w:r>
              <w:rPr>
                <w:rFonts w:ascii="Arial Unicode MS" w:hAnsi="Arial Unicode MS" w:eastAsia="Arial Unicode MS" w:hint="eastAsia"/>
                <w:b w:val="0"/>
                <w:color w:val="000000"/>
                <w:sz w:val="18"/>
                <w:lang w:val="zh-CN" w:eastAsia="zh-CN"/>
              </w:rPr>
              <w:t>PresentationChapter 数组</w:t>
            </w:r>
          </w:p>
        </w:tc>
      </w:tr>
      <w:tr>
        <w:trPr>
          <w:cantSplit/>
        </w:trPr>
        <w:tc>
          <w:tcPr>
            <w:tcW w:type="dxa" w:w="3324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FFFFFF"/>
          </w:tcPr>
          <w:p>
            <w:pPr>
              <w:spacing w:after="0" w:line="269" w:lineRule="auto"/>
              <w:jc w:val="left"/>
            </w:pPr>
            <w:r>
              <w:rPr>
                <w:rFonts w:ascii="Arial Unicode MS" w:hAnsi="Arial Unicode MS" w:eastAsia="Arial Unicode MS" w:hint="eastAsia"/>
                <w:b w:val="0"/>
                <w:color w:val="000000"/>
                <w:sz w:val="18"/>
                <w:lang w:val="zh-CN" w:eastAsia="zh-CN"/>
              </w:rPr>
              <w:t>GET</w:t>
            </w:r>
          </w:p>
        </w:tc>
        <w:tc>
          <w:tcPr>
            <w:tcW w:type="dxa" w:w="3324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FFFFFF"/>
          </w:tcPr>
          <w:p>
            <w:pPr>
              <w:spacing w:after="0" w:line="269" w:lineRule="auto"/>
              <w:jc w:val="left"/>
            </w:pPr>
            <w:r>
              <w:rPr>
                <w:rFonts w:ascii="Arial Unicode MS" w:hAnsi="Arial Unicode MS" w:eastAsia="Arial Unicode MS" w:hint="eastAsia"/>
                <w:b w:val="0"/>
                <w:color w:val="000000"/>
                <w:sz w:val="18"/>
                <w:lang w:val="zh-CN" w:eastAsia="zh-CN"/>
              </w:rPr>
              <w:t>/dashboard/runtime</w:t>
            </w:r>
          </w:p>
        </w:tc>
        <w:tc>
          <w:tcPr>
            <w:tcW w:type="dxa" w:w="3324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FFFFFF"/>
          </w:tcPr>
          <w:p>
            <w:pPr>
              <w:spacing w:after="0" w:line="269" w:lineRule="auto"/>
              <w:jc w:val="left"/>
            </w:pPr>
            <w:r>
              <w:rPr>
                <w:rFonts w:ascii="Arial Unicode MS" w:hAnsi="Arial Unicode MS" w:eastAsia="Arial Unicode MS" w:hint="eastAsia"/>
                <w:b w:val="0"/>
                <w:color w:val="000000"/>
                <w:sz w:val="18"/>
                <w:lang w:val="zh-CN" w:eastAsia="zh-CN"/>
              </w:rPr>
              <w:t>DashboardRuntimeMeta</w:t>
            </w:r>
          </w:p>
        </w:tc>
      </w:tr>
    </w:tbl>
    <w:p>
      <w:pPr>
        <w:spacing w:after="40"/>
      </w:pPr>
    </w:p>
    <w:p>
      <w:pPr>
        <w:spacing w:after="120" w:line="317" w:lineRule="auto"/>
        <w:ind w:firstLine="420"/>
      </w:pPr>
      <w:r>
        <w:rPr>
          <w:rFonts w:ascii="Arial Unicode MS" w:hAnsi="Arial Unicode MS" w:eastAsia="Arial Unicode MS" w:hint="eastAsia"/>
          <w:color w:val="1F2937"/>
          <w:sz w:val="20"/>
          <w:lang w:val="zh-CN" w:eastAsia="zh-CN"/>
        </w:rPr>
        <w:t>mode</w:t>
      </w:r>
      <w:r>
        <w:rPr>
          <w:rFonts w:ascii="Arial Unicode MS" w:hAnsi="Arial Unicode MS" w:eastAsia="Arial Unicode MS" w:hint="eastAsia"/>
          <w:color w:val="000000"/>
          <w:sz w:val="21"/>
          <w:lang w:val="zh-CN" w:eastAsia="zh-CN"/>
        </w:rPr>
        <w:t xml:space="preserve"> 支持 </w:t>
      </w:r>
      <w:r>
        <w:rPr>
          <w:rFonts w:ascii="Arial Unicode MS" w:hAnsi="Arial Unicode MS" w:eastAsia="Arial Unicode MS" w:hint="eastAsia"/>
          <w:color w:val="1F2937"/>
          <w:sz w:val="20"/>
          <w:lang w:val="zh-CN" w:eastAsia="zh-CN"/>
        </w:rPr>
        <w:t>normal</w:t>
      </w:r>
      <w:r>
        <w:rPr>
          <w:rFonts w:ascii="Arial Unicode MS" w:hAnsi="Arial Unicode MS" w:eastAsia="Arial Unicode MS" w:hint="eastAsia"/>
          <w:color w:val="000000"/>
          <w:sz w:val="21"/>
          <w:lang w:val="zh-CN" w:eastAsia="zh-CN"/>
        </w:rPr>
        <w:t>、</w:t>
      </w:r>
      <w:r>
        <w:rPr>
          <w:rFonts w:ascii="Arial Unicode MS" w:hAnsi="Arial Unicode MS" w:eastAsia="Arial Unicode MS" w:hint="eastAsia"/>
          <w:color w:val="1F2937"/>
          <w:sz w:val="20"/>
          <w:lang w:val="zh-CN" w:eastAsia="zh-CN"/>
        </w:rPr>
        <w:t>heatwave</w:t>
      </w:r>
      <w:r>
        <w:rPr>
          <w:rFonts w:ascii="Arial Unicode MS" w:hAnsi="Arial Unicode MS" w:eastAsia="Arial Unicode MS" w:hint="eastAsia"/>
          <w:color w:val="000000"/>
          <w:sz w:val="21"/>
          <w:lang w:val="zh-CN" w:eastAsia="zh-CN"/>
        </w:rPr>
        <w:t>、</w:t>
      </w:r>
      <w:r>
        <w:rPr>
          <w:rFonts w:ascii="Arial Unicode MS" w:hAnsi="Arial Unicode MS" w:eastAsia="Arial Unicode MS" w:hint="eastAsia"/>
          <w:color w:val="1F2937"/>
          <w:sz w:val="20"/>
          <w:lang w:val="zh-CN" w:eastAsia="zh-CN"/>
        </w:rPr>
        <w:t>cloudy</w:t>
      </w:r>
      <w:r>
        <w:rPr>
          <w:rFonts w:ascii="Arial Unicode MS" w:hAnsi="Arial Unicode MS" w:eastAsia="Arial Unicode MS" w:hint="eastAsia"/>
          <w:color w:val="000000"/>
          <w:sz w:val="21"/>
          <w:lang w:val="zh-CN" w:eastAsia="zh-CN"/>
        </w:rPr>
        <w:t>、</w:t>
      </w:r>
      <w:r>
        <w:rPr>
          <w:rFonts w:ascii="Arial Unicode MS" w:hAnsi="Arial Unicode MS" w:eastAsia="Arial Unicode MS" w:hint="eastAsia"/>
          <w:color w:val="1F2937"/>
          <w:sz w:val="20"/>
          <w:lang w:val="zh-CN" w:eastAsia="zh-CN"/>
        </w:rPr>
        <w:t>peakPricing</w:t>
      </w:r>
      <w:r>
        <w:rPr>
          <w:rFonts w:ascii="Arial Unicode MS" w:hAnsi="Arial Unicode MS" w:eastAsia="Arial Unicode MS" w:hint="eastAsia"/>
          <w:color w:val="000000"/>
          <w:sz w:val="21"/>
          <w:lang w:val="zh-CN" w:eastAsia="zh-CN"/>
        </w:rPr>
        <w:t>；</w:t>
      </w:r>
      <w:r>
        <w:rPr>
          <w:rFonts w:ascii="Arial Unicode MS" w:hAnsi="Arial Unicode MS" w:eastAsia="Arial Unicode MS" w:hint="eastAsia"/>
          <w:color w:val="1F2937"/>
          <w:sz w:val="20"/>
          <w:lang w:val="zh-CN" w:eastAsia="zh-CN"/>
        </w:rPr>
        <w:t>operationMode</w:t>
      </w:r>
      <w:r>
        <w:rPr>
          <w:rFonts w:ascii="Arial Unicode MS" w:hAnsi="Arial Unicode MS" w:eastAsia="Arial Unicode MS" w:hint="eastAsia"/>
          <w:color w:val="000000"/>
          <w:sz w:val="21"/>
          <w:lang w:val="zh-CN" w:eastAsia="zh-CN"/>
        </w:rPr>
        <w:t xml:space="preserve"> 支持 </w:t>
      </w:r>
      <w:r>
        <w:rPr>
          <w:rFonts w:ascii="Arial Unicode MS" w:hAnsi="Arial Unicode MS" w:eastAsia="Arial Unicode MS" w:hint="eastAsia"/>
          <w:color w:val="1F2937"/>
          <w:sz w:val="20"/>
          <w:lang w:val="zh-CN" w:eastAsia="zh-CN"/>
        </w:rPr>
        <w:t>cooling</w:t>
      </w:r>
      <w:r>
        <w:rPr>
          <w:rFonts w:ascii="Arial Unicode MS" w:hAnsi="Arial Unicode MS" w:eastAsia="Arial Unicode MS" w:hint="eastAsia"/>
          <w:color w:val="000000"/>
          <w:sz w:val="21"/>
          <w:lang w:val="zh-CN" w:eastAsia="zh-CN"/>
        </w:rPr>
        <w:t xml:space="preserve"> 与 </w:t>
      </w:r>
      <w:r>
        <w:rPr>
          <w:rFonts w:ascii="Arial Unicode MS" w:hAnsi="Arial Unicode MS" w:eastAsia="Arial Unicode MS" w:hint="eastAsia"/>
          <w:color w:val="1F2937"/>
          <w:sz w:val="20"/>
          <w:lang w:val="zh-CN" w:eastAsia="zh-CN"/>
        </w:rPr>
        <w:t>heating</w:t>
      </w:r>
      <w:r>
        <w:rPr>
          <w:rFonts w:ascii="Arial Unicode MS" w:hAnsi="Arial Unicode MS" w:eastAsia="Arial Unicode MS" w:hint="eastAsia"/>
          <w:color w:val="000000"/>
          <w:sz w:val="21"/>
          <w:lang w:val="zh-CN" w:eastAsia="zh-CN"/>
        </w:rPr>
        <w:t>。这些是读取约定，不代表已提供后端或控制接口。</w:t>
      </w:r>
    </w:p>
    <w:p>
      <w:pPr>
        <w:pStyle w:val="Heading2"/>
      </w:pPr>
      <w:r>
        <w:rPr>
          <w:rFonts w:ascii="Arial Unicode MS" w:hAnsi="Arial Unicode MS" w:eastAsia="Arial Unicode MS" w:hint="eastAsia"/>
          <w:b w:val="0"/>
          <w:color w:val="000000"/>
          <w:sz w:val="26"/>
          <w:lang w:val="zh-CN" w:eastAsia="zh-CN"/>
        </w:rPr>
        <w:t>7 3 真实数据要求</w:t>
      </w:r>
    </w:p>
    <w:p>
      <w:pPr>
        <w:spacing w:after="120" w:line="317" w:lineRule="auto"/>
        <w:ind w:firstLine="420"/>
      </w:pPr>
      <w:r>
        <w:rPr>
          <w:rFonts w:ascii="Arial Unicode MS" w:hAnsi="Arial Unicode MS" w:eastAsia="Arial Unicode MS" w:hint="eastAsia"/>
          <w:color w:val="000000"/>
          <w:sz w:val="21"/>
          <w:lang w:val="zh-CN" w:eastAsia="zh-CN"/>
        </w:rPr>
        <w:t>每条遥测应携带设备标识、采集时间、单位、来源和质量标记。电功率、热功率、累计电量和累计冷热量必须分开；同时统一时区、采样间隔、缺失值、异常值、设备离线和数据过期处理。</w:t>
      </w:r>
    </w:p>
    <w:p>
      <w:pPr>
        <w:spacing w:after="120" w:line="317" w:lineRule="auto"/>
        <w:ind w:firstLine="420"/>
      </w:pPr>
      <w:r>
        <w:rPr>
          <w:rFonts w:ascii="Arial Unicode MS" w:hAnsi="Arial Unicode MS" w:eastAsia="Arial Unicode MS" w:hint="eastAsia"/>
          <w:color w:val="000000"/>
          <w:sz w:val="21"/>
          <w:lang w:val="zh-CN" w:eastAsia="zh-CN"/>
        </w:rPr>
        <w:t>API 加载失败时，当前演示可回退到本地 Mock 并显示来源提示。真实运行不得把回退数据继续作为控制输入。前端的最新请求保护只能避免界面被旧响应覆盖，服务端仍需提供请求身份、版本、幂等和失效机制。</w:t>
      </w:r>
    </w:p>
    <w:p>
      <w:pPr>
        <w:pStyle w:val="Heading1"/>
        <w:keepNext/>
      </w:pPr>
      <w:r>
        <w:rPr>
          <w:rFonts w:ascii="Arial Unicode MS" w:hAnsi="Arial Unicode MS" w:eastAsia="Arial Unicode MS" w:hint="eastAsia"/>
          <w:b w:val="0"/>
          <w:color w:val="000000"/>
          <w:sz w:val="36"/>
          <w:lang w:val="zh-CN" w:eastAsia="zh-CN"/>
        </w:rPr>
        <w:t>8 水蓄能调度逻辑</w:t>
      </w:r>
    </w:p>
    <w:p>
      <w:pPr>
        <w:pStyle w:val="Heading2"/>
      </w:pPr>
      <w:r>
        <w:rPr>
          <w:rFonts w:ascii="Arial Unicode MS" w:hAnsi="Arial Unicode MS" w:eastAsia="Arial Unicode MS" w:hint="eastAsia"/>
          <w:b w:val="0"/>
          <w:color w:val="000000"/>
          <w:sz w:val="26"/>
          <w:lang w:val="zh-CN" w:eastAsia="zh-CN"/>
        </w:rPr>
        <w:t>8 1 逐时状态递推</w:t>
      </w:r>
    </w:p>
    <w:p>
      <w:pPr>
        <w:spacing w:after="120" w:line="317" w:lineRule="auto"/>
        <w:ind w:firstLine="420"/>
      </w:pPr>
      <w:r>
        <w:rPr>
          <w:rFonts w:ascii="Arial Unicode MS" w:hAnsi="Arial Unicode MS" w:eastAsia="Arial Unicode MS" w:hint="eastAsia"/>
          <w:color w:val="000000"/>
          <w:sz w:val="21"/>
          <w:lang w:val="zh-CN" w:eastAsia="zh-CN"/>
        </w:rPr>
        <w:t>每个小时先根据上个小时剩余 kWhth、保温损失、充能效率和放能需求计算新的水罐状态。充能和放能互斥；接受功率受最大 kWth、剩余容量、已有能量和小时长度限制。结果被约束在零与总容量之间。</w:t>
      </w:r>
    </w:p>
    <w:p>
      <w:pPr>
        <w:pStyle w:val="Heading2"/>
      </w:pPr>
      <w:r>
        <w:rPr>
          <w:rFonts w:ascii="Arial Unicode MS" w:hAnsi="Arial Unicode MS" w:eastAsia="Arial Unicode MS" w:hint="eastAsia"/>
          <w:b w:val="0"/>
          <w:color w:val="000000"/>
          <w:sz w:val="26"/>
          <w:lang w:val="zh-CN" w:eastAsia="zh-CN"/>
        </w:rPr>
        <w:t>8 2 充能优先级</w:t>
      </w:r>
    </w:p>
    <w:p>
      <w:pPr>
        <w:pStyle w:val="ListNumber"/>
        <w:spacing w:after="120" w:line="317" w:lineRule="auto"/>
        <w:numPr>
          <w:ilvl w:val="0"/>
          <w:numId w:val="10"/>
        </w:numPr>
      </w:pPr>
      <w:r>
        <w:rPr>
          <w:rFonts w:ascii="Arial Unicode MS" w:hAnsi="Arial Unicode MS" w:eastAsia="Arial Unicode MS" w:hint="eastAsia"/>
          <w:color w:val="000000"/>
          <w:sz w:val="21"/>
          <w:lang w:val="zh-CN" w:eastAsia="zh-CN"/>
        </w:rPr>
        <w:t>低谷电价窗口：机组使用电网供电制取冷水或热水，目标是移峰和费用优化。</w:t>
      </w:r>
    </w:p>
    <w:p>
      <w:pPr>
        <w:pStyle w:val="ListNumber"/>
        <w:spacing w:after="120" w:line="317" w:lineRule="auto"/>
        <w:numPr>
          <w:ilvl w:val="0"/>
          <w:numId w:val="10"/>
        </w:numPr>
      </w:pPr>
      <w:r>
        <w:rPr>
          <w:rFonts w:ascii="Arial Unicode MS" w:hAnsi="Arial Unicode MS" w:eastAsia="Arial Unicode MS" w:hint="eastAsia"/>
          <w:color w:val="000000"/>
          <w:sz w:val="21"/>
          <w:lang w:val="zh-CN" w:eastAsia="zh-CN"/>
        </w:rPr>
        <w:t>白天光伏剩余窗口：先满足基础电负荷和当时机组直接供给需求，只有仍有光伏余量时才增加充能。</w:t>
      </w:r>
    </w:p>
    <w:p>
      <w:pPr>
        <w:pStyle w:val="ListNumber"/>
        <w:spacing w:after="120" w:line="317" w:lineRule="auto"/>
        <w:numPr>
          <w:ilvl w:val="0"/>
          <w:numId w:val="10"/>
        </w:numPr>
      </w:pPr>
      <w:r>
        <w:rPr>
          <w:rFonts w:ascii="Arial Unicode MS" w:hAnsi="Arial Unicode MS" w:eastAsia="Arial Unicode MS" w:hint="eastAsia"/>
          <w:color w:val="000000"/>
          <w:sz w:val="21"/>
          <w:lang w:val="zh-CN" w:eastAsia="zh-CN"/>
        </w:rPr>
        <w:t>水罐接近目标水位、机组能力不足或预计高价窗口需求不大时，限制或停止充能。</w:t>
      </w:r>
    </w:p>
    <w:p>
      <w:pPr>
        <w:spacing w:after="120" w:line="317" w:lineRule="auto"/>
        <w:ind w:firstLine="420"/>
      </w:pPr>
      <w:r>
        <w:rPr>
          <w:rFonts w:ascii="Arial Unicode MS" w:hAnsi="Arial Unicode MS" w:eastAsia="Arial Unicode MS" w:hint="eastAsia"/>
          <w:color w:val="000000"/>
          <w:sz w:val="21"/>
          <w:lang w:val="zh-CN" w:eastAsia="zh-CN"/>
        </w:rPr>
        <w:t>两类充能在统计中分别解释。低谷电网充能不能计成光伏消纳；光伏充能的可再生属性还需考虑后续损失与来源追踪。</w:t>
      </w:r>
    </w:p>
    <w:p>
      <w:pPr>
        <w:pStyle w:val="Heading2"/>
      </w:pPr>
      <w:r>
        <w:rPr>
          <w:rFonts w:ascii="Arial Unicode MS" w:hAnsi="Arial Unicode MS" w:eastAsia="Arial Unicode MS" w:hint="eastAsia"/>
          <w:b w:val="0"/>
          <w:color w:val="000000"/>
          <w:sz w:val="26"/>
          <w:lang w:val="zh-CN" w:eastAsia="zh-CN"/>
        </w:rPr>
        <w:t>8 3 放能与部分供给</w:t>
      </w:r>
    </w:p>
    <w:p>
      <w:pPr>
        <w:spacing w:after="120" w:line="317" w:lineRule="auto"/>
        <w:ind w:firstLine="420"/>
      </w:pPr>
      <w:r>
        <w:rPr>
          <w:rFonts w:ascii="Arial Unicode MS" w:hAnsi="Arial Unicode MS" w:eastAsia="Arial Unicode MS" w:hint="eastAsia"/>
          <w:color w:val="000000"/>
          <w:sz w:val="21"/>
          <w:lang w:val="zh-CN" w:eastAsia="zh-CN"/>
        </w:rPr>
        <w:t>高价、高负荷或光伏不足窗口可安排放冷或放热。水罐放能不超过当时建筑热负荷，因此热侧始终满足“机组直供加水罐放能等于建筑负荷”。当前策略按负荷比例安排部分放能，避免默认假设机组停机。</w:t>
      </w:r>
    </w:p>
    <w:p>
      <w:pPr>
        <w:spacing w:after="120" w:line="317" w:lineRule="auto"/>
        <w:ind w:firstLine="420"/>
      </w:pPr>
      <w:r>
        <w:rPr>
          <w:rFonts w:ascii="Arial Unicode MS" w:hAnsi="Arial Unicode MS" w:eastAsia="Arial Unicode MS" w:hint="eastAsia"/>
          <w:color w:val="000000"/>
          <w:sz w:val="21"/>
          <w:lang w:val="zh-CN" w:eastAsia="zh-CN"/>
        </w:rPr>
        <w:t>全停条件至少包括：剩余 kWhth 足以覆盖目标时长、允许的放能 kWth 不低于负荷、泵阀与水力条件允许、供水温度可达、末端舒适度受控、机组最短停机时间满足。任一条件不满足时，机组继续承担余量。</w:t>
      </w:r>
    </w:p>
    <w:p>
      <w:pPr>
        <w:pStyle w:val="Heading2"/>
      </w:pPr>
      <w:r>
        <w:rPr>
          <w:rFonts w:ascii="Arial Unicode MS" w:hAnsi="Arial Unicode MS" w:eastAsia="Arial Unicode MS" w:hint="eastAsia"/>
          <w:b w:val="0"/>
          <w:color w:val="000000"/>
          <w:sz w:val="26"/>
          <w:lang w:val="zh-CN" w:eastAsia="zh-CN"/>
        </w:rPr>
        <w:t>8 4 目标闭环</w:t>
      </w:r>
    </w:p>
    <w:p>
      <w:pPr>
        <w:spacing w:after="120" w:line="317" w:lineRule="auto"/>
        <w:ind w:firstLine="420"/>
      </w:pPr>
      <w:r>
        <w:rPr>
          <w:rFonts w:ascii="Arial Unicode MS" w:hAnsi="Arial Unicode MS" w:eastAsia="Arial Unicode MS" w:hint="eastAsia"/>
          <w:color w:val="000000"/>
          <w:sz w:val="21"/>
          <w:lang w:val="zh-CN" w:eastAsia="zh-CN"/>
        </w:rPr>
        <w:t>拟落地流程为：采集并校验 → 预测光伏和冷热负荷 → 在功率、容量、舒适度和设备约束下生成计划 → 人工或服务端确认 → 下发带版本和有效期的目标 → 设备回传 → 遥测核验 → 滚动修正。早期试点宜从只读监测和人工确认开始。</w:t>
      </w:r>
    </w:p>
    <w:p>
      <w:pPr>
        <w:pStyle w:val="Heading1"/>
        <w:keepNext/>
      </w:pPr>
      <w:r>
        <w:rPr>
          <w:rFonts w:ascii="Arial Unicode MS" w:hAnsi="Arial Unicode MS" w:eastAsia="Arial Unicode MS" w:hint="eastAsia"/>
          <w:b w:val="0"/>
          <w:color w:val="000000"/>
          <w:sz w:val="36"/>
          <w:lang w:val="zh-CN" w:eastAsia="zh-CN"/>
        </w:rPr>
        <w:t>9 经济与碳核算</w:t>
      </w:r>
    </w:p>
    <w:p>
      <w:pPr>
        <w:pStyle w:val="Heading2"/>
      </w:pPr>
      <w:r>
        <w:rPr>
          <w:rFonts w:ascii="Arial Unicode MS" w:hAnsi="Arial Unicode MS" w:eastAsia="Arial Unicode MS" w:hint="eastAsia"/>
          <w:b w:val="0"/>
          <w:color w:val="000000"/>
          <w:sz w:val="26"/>
          <w:lang w:val="zh-CN" w:eastAsia="zh-CN"/>
        </w:rPr>
        <w:t>9 1 有符号账单差额</w:t>
      </w:r>
    </w:p>
    <w:p>
      <w:pPr>
        <w:spacing w:after="120" w:line="317" w:lineRule="auto"/>
        <w:ind w:firstLine="420"/>
      </w:pPr>
      <w:r>
        <w:rPr>
          <w:rFonts w:ascii="Arial Unicode MS" w:hAnsi="Arial Unicode MS" w:eastAsia="Arial Unicode MS" w:hint="eastAsia"/>
          <w:color w:val="000000"/>
          <w:sz w:val="21"/>
          <w:lang w:val="zh-CN" w:eastAsia="zh-CN"/>
        </w:rPr>
        <w:t>电费节省采用：</w:t>
      </w:r>
    </w:p>
    <w:p>
      <w:pPr>
        <w:spacing w:before="60" w:after="160" w:line="276" w:lineRule="auto"/>
        <w:ind w:left="255" w:right="255"/>
        <w:shd w:fill="F3F6F8"/>
      </w:pPr>
      <w:r>
        <w:rPr>
          <w:rFonts w:ascii="Arial Unicode MS" w:hAnsi="Arial Unicode MS" w:eastAsia="Arial Unicode MS" w:hint="eastAsia"/>
          <w:color w:val="1F2937"/>
          <w:sz w:val="19"/>
          <w:lang w:val="zh-CN" w:eastAsia="zh-CN"/>
        </w:rPr>
        <w:t>电费节省 = 基线账单 - 实际账单</w:t>
      </w:r>
    </w:p>
    <w:p>
      <w:pPr>
        <w:spacing w:after="120" w:line="317" w:lineRule="auto"/>
        <w:ind w:firstLine="420"/>
      </w:pPr>
      <w:r>
        <w:rPr>
          <w:rFonts w:ascii="Arial Unicode MS" w:hAnsi="Arial Unicode MS" w:eastAsia="Arial Unicode MS" w:hint="eastAsia"/>
          <w:color w:val="000000"/>
          <w:sz w:val="21"/>
          <w:lang w:val="zh-CN" w:eastAsia="zh-CN"/>
        </w:rPr>
        <w:t>实际账单必须包含充冷或充热引起的机组用电、水泵及其他辅机用电。结果可以为负，负值表示调度在该口径下增加费用，不应截断为零或改写为收益。</w:t>
      </w:r>
    </w:p>
    <w:p>
      <w:pPr>
        <w:pStyle w:val="Heading2"/>
      </w:pPr>
      <w:r>
        <w:rPr>
          <w:rFonts w:ascii="Arial Unicode MS" w:hAnsi="Arial Unicode MS" w:eastAsia="Arial Unicode MS" w:hint="eastAsia"/>
          <w:b w:val="0"/>
          <w:color w:val="000000"/>
          <w:sz w:val="26"/>
          <w:lang w:val="zh-CN" w:eastAsia="zh-CN"/>
        </w:rPr>
        <w:t>9 2 电量电费与需量费用</w:t>
      </w:r>
    </w:p>
    <w:p>
      <w:pPr>
        <w:spacing w:after="120" w:line="317" w:lineRule="auto"/>
        <w:ind w:firstLine="420"/>
      </w:pPr>
      <w:r>
        <w:rPr>
          <w:rFonts w:ascii="Arial Unicode MS" w:hAnsi="Arial Unicode MS" w:eastAsia="Arial Unicode MS" w:hint="eastAsia"/>
          <w:color w:val="000000"/>
          <w:sz w:val="21"/>
          <w:lang w:val="zh-CN" w:eastAsia="zh-CN"/>
        </w:rPr>
        <w:t>分时电量电费按各时段 kWh 与单价计算。最大需量、容量或峰值费用按当地计费规则单独计算，不能把削峰百分比直接乘电量单价。上网收益也应单列，避免与购电减少重复计入。</w:t>
      </w:r>
    </w:p>
    <w:p>
      <w:pPr>
        <w:pStyle w:val="Heading2"/>
      </w:pPr>
      <w:r>
        <w:rPr>
          <w:rFonts w:ascii="Arial Unicode MS" w:hAnsi="Arial Unicode MS" w:eastAsia="Arial Unicode MS" w:hint="eastAsia"/>
          <w:b w:val="0"/>
          <w:color w:val="000000"/>
          <w:sz w:val="26"/>
          <w:lang w:val="zh-CN" w:eastAsia="zh-CN"/>
        </w:rPr>
        <w:t>9 3 比较基线</w:t>
      </w:r>
    </w:p>
    <w:p>
      <w:pPr>
        <w:spacing w:after="120" w:line="317" w:lineRule="auto"/>
        <w:ind w:firstLine="420"/>
      </w:pPr>
      <w:r>
        <w:rPr>
          <w:rFonts w:ascii="Arial Unicode MS" w:hAnsi="Arial Unicode MS" w:eastAsia="Arial Unicode MS" w:hint="eastAsia"/>
          <w:color w:val="000000"/>
          <w:sz w:val="21"/>
          <w:lang w:val="zh-CN" w:eastAsia="zh-CN"/>
        </w:rPr>
        <w:t>至少保留三类可比方案：无光伏无水蓄能、同一光伏但无水蓄能、同一光伏加水蓄能。第一组用于观察总体购电变化，第二组用于识别水蓄能的增量费用效果。当前总体节费使用第一类基线，收益趋势与 AI 水蓄能收益使用第二类基线，避免把光伏替代收益归因给移峰。三组应使用相同天气、占用、冷热负荷、价格和计量边界。</w:t>
      </w:r>
    </w:p>
    <w:p>
      <w:pPr>
        <w:pStyle w:val="Heading2"/>
      </w:pPr>
      <w:r>
        <w:rPr>
          <w:rFonts w:ascii="Arial Unicode MS" w:hAnsi="Arial Unicode MS" w:eastAsia="Arial Unicode MS" w:hint="eastAsia"/>
          <w:b w:val="0"/>
          <w:color w:val="000000"/>
          <w:sz w:val="26"/>
          <w:lang w:val="zh-CN" w:eastAsia="zh-CN"/>
        </w:rPr>
        <w:t>9 4 设备节能 光伏替代和移峰</w:t>
      </w:r>
    </w:p>
    <w:p>
      <w:pPr>
        <w:spacing w:after="120" w:line="317" w:lineRule="auto"/>
        <w:ind w:firstLine="420"/>
      </w:pPr>
      <w:r>
        <w:rPr>
          <w:rFonts w:ascii="Arial Unicode MS" w:hAnsi="Arial Unicode MS" w:eastAsia="Arial Unicode MS" w:hint="eastAsia"/>
          <w:color w:val="000000"/>
          <w:sz w:val="21"/>
          <w:lang w:val="zh-CN" w:eastAsia="zh-CN"/>
        </w:rPr>
        <w:t>设备节能需要调整基线并比较机组和水泵实际 kWh；光伏替代比较并网点进口电量；移峰比较分时电量与最大购电功率。水蓄能有保温、换热和泵耗，总能耗可能增加，但仍可能因电价或需量降低而减少账单。</w:t>
      </w:r>
    </w:p>
    <w:p>
      <w:pPr>
        <w:pStyle w:val="Heading2"/>
      </w:pPr>
      <w:r>
        <w:rPr>
          <w:rFonts w:ascii="Arial Unicode MS" w:hAnsi="Arial Unicode MS" w:eastAsia="Arial Unicode MS" w:hint="eastAsia"/>
          <w:b w:val="0"/>
          <w:color w:val="000000"/>
          <w:sz w:val="26"/>
          <w:lang w:val="zh-CN" w:eastAsia="zh-CN"/>
        </w:rPr>
        <w:t>9 5 碳核算</w:t>
      </w:r>
    </w:p>
    <w:p>
      <w:pPr>
        <w:spacing w:after="120" w:line="317" w:lineRule="auto"/>
        <w:ind w:firstLine="420"/>
      </w:pPr>
      <w:r>
        <w:rPr>
          <w:rFonts w:ascii="Arial Unicode MS" w:hAnsi="Arial Unicode MS" w:eastAsia="Arial Unicode MS" w:hint="eastAsia"/>
          <w:color w:val="000000"/>
          <w:sz w:val="21"/>
          <w:lang w:val="zh-CN" w:eastAsia="zh-CN"/>
        </w:rPr>
        <w:t>碳排计算应明确区域或边际排放因子、时段、核算边界和光伏来源。低价不等于低碳，夜间电网充能后白天放能也不自动减碳。光伏先充入水罐再间接减少机组用电时，只能计一次可再生贡献。</w:t>
      </w:r>
    </w:p>
    <w:p>
      <w:pPr>
        <w:pStyle w:val="Heading1"/>
        <w:keepNext/>
      </w:pPr>
      <w:r>
        <w:rPr>
          <w:rFonts w:ascii="Arial Unicode MS" w:hAnsi="Arial Unicode MS" w:eastAsia="Arial Unicode MS" w:hint="eastAsia"/>
          <w:b w:val="0"/>
          <w:color w:val="000000"/>
          <w:sz w:val="36"/>
          <w:lang w:val="zh-CN" w:eastAsia="zh-CN"/>
        </w:rPr>
        <w:t>10 AI 建议与界面表达</w:t>
      </w:r>
    </w:p>
    <w:p>
      <w:pPr>
        <w:pStyle w:val="Heading2"/>
      </w:pPr>
      <w:r>
        <w:rPr>
          <w:rFonts w:ascii="Arial Unicode MS" w:hAnsi="Arial Unicode MS" w:eastAsia="Arial Unicode MS" w:hint="eastAsia"/>
          <w:b w:val="0"/>
          <w:color w:val="000000"/>
          <w:sz w:val="26"/>
          <w:lang w:val="zh-CN" w:eastAsia="zh-CN"/>
        </w:rPr>
        <w:t>10 1 当前 AI 能力</w:t>
      </w:r>
    </w:p>
    <w:p>
      <w:pPr>
        <w:spacing w:after="120" w:line="317" w:lineRule="auto"/>
        <w:ind w:firstLine="420"/>
      </w:pPr>
      <w:r>
        <w:rPr>
          <w:rFonts w:ascii="Arial Unicode MS" w:hAnsi="Arial Unicode MS" w:eastAsia="Arial Unicode MS" w:hint="eastAsia"/>
          <w:color w:val="000000"/>
          <w:sz w:val="21"/>
          <w:lang w:val="zh-CN" w:eastAsia="zh-CN"/>
        </w:rPr>
        <w:t>当前 AI 面板使用规则生成策略标题、说明、置信度、评分、预期费用与碳结果，并以时间轴解释场景变化。它适合演示“为什么在此时充能或放能”，不代表已训练预测模型或已部署自动优化器。</w:t>
      </w:r>
    </w:p>
    <w:p>
      <w:pPr>
        <w:pStyle w:val="Heading2"/>
      </w:pPr>
      <w:r>
        <w:rPr>
          <w:rFonts w:ascii="Arial Unicode MS" w:hAnsi="Arial Unicode MS" w:eastAsia="Arial Unicode MS" w:hint="eastAsia"/>
          <w:b w:val="0"/>
          <w:color w:val="000000"/>
          <w:sz w:val="26"/>
          <w:lang w:val="zh-CN" w:eastAsia="zh-CN"/>
        </w:rPr>
        <w:t>10 2 建议应说明的内容</w:t>
      </w:r>
    </w:p>
    <w:p>
      <w:pPr>
        <w:spacing w:after="120" w:line="317" w:lineRule="auto"/>
        <w:ind w:firstLine="420"/>
      </w:pPr>
      <w:r>
        <w:rPr>
          <w:rFonts w:ascii="Arial Unicode MS" w:hAnsi="Arial Unicode MS" w:eastAsia="Arial Unicode MS" w:hint="eastAsia"/>
          <w:color w:val="000000"/>
          <w:sz w:val="21"/>
          <w:lang w:val="zh-CN" w:eastAsia="zh-CN"/>
        </w:rPr>
        <w:t>一条可审查建议至少应说明：当前季节与场景、光伏和电价窗口、建筑冷热负荷、水罐剩余 kWhth、可用放能 kWth、机组 COP、预期水泵代价、舒适度边界和退出条件。建议文本应区分低谷电网充能与光伏剩余充能。</w:t>
      </w:r>
    </w:p>
    <w:p>
      <w:pPr>
        <w:pStyle w:val="Heading2"/>
      </w:pPr>
      <w:r>
        <w:rPr>
          <w:rFonts w:ascii="Arial Unicode MS" w:hAnsi="Arial Unicode MS" w:eastAsia="Arial Unicode MS" w:hint="eastAsia"/>
          <w:b w:val="0"/>
          <w:color w:val="000000"/>
          <w:sz w:val="26"/>
          <w:lang w:val="zh-CN" w:eastAsia="zh-CN"/>
        </w:rPr>
        <w:t>10 3 当前界面映射</w:t>
      </w:r>
    </w:p>
    <w:p>
      <w:pPr>
        <w:spacing w:after="120" w:line="317" w:lineRule="auto"/>
        <w:ind w:firstLine="420"/>
      </w:pPr>
      <w:r>
        <w:rPr>
          <w:rFonts w:ascii="Arial Unicode MS" w:hAnsi="Arial Unicode MS" w:eastAsia="Arial Unicode MS" w:hint="eastAsia"/>
          <w:color w:val="000000"/>
          <w:sz w:val="21"/>
          <w:lang w:val="zh-CN" w:eastAsia="zh-CN"/>
        </w:rPr>
        <w:t>顶部显示季节、场景和核心指标；右侧水蓄能面板显示水位、可用量、充放热功率、温度与时长；设备详情关联同一小时数据；三维场景显示分层与流向；底部图表分开呈现电侧和热侧。AI 时间轴把场景选择、充放能动作和收益估算串联起来。</w:t>
      </w:r>
    </w:p>
    <w:p>
      <w:pPr>
        <w:pStyle w:val="Heading2"/>
      </w:pPr>
      <w:r>
        <w:rPr>
          <w:rFonts w:ascii="Arial Unicode MS" w:hAnsi="Arial Unicode MS" w:eastAsia="Arial Unicode MS" w:hint="eastAsia"/>
          <w:b w:val="0"/>
          <w:color w:val="000000"/>
          <w:sz w:val="26"/>
          <w:lang w:val="zh-CN" w:eastAsia="zh-CN"/>
        </w:rPr>
        <w:t>10 4 使用限制</w:t>
      </w:r>
    </w:p>
    <w:p>
      <w:pPr>
        <w:spacing w:after="120" w:line="317" w:lineRule="auto"/>
        <w:ind w:firstLine="420"/>
      </w:pPr>
      <w:r>
        <w:rPr>
          <w:rFonts w:ascii="Arial Unicode MS" w:hAnsi="Arial Unicode MS" w:eastAsia="Arial Unicode MS" w:hint="eastAsia"/>
          <w:color w:val="000000"/>
          <w:sz w:val="21"/>
          <w:lang w:val="zh-CN" w:eastAsia="zh-CN"/>
        </w:rPr>
        <w:t>置信度和预期效益是演示参数，不是统计验证结果。未来算法应公开目标函数、约束、预测误差和版本，记录候选方案与最终选择。现场控制必须由具备权限和安全校验的服务端执行，不应由浏览器直接驱动泵阀或机组。</w:t>
      </w:r>
    </w:p>
    <w:p>
      <w:pPr>
        <w:pStyle w:val="Heading1"/>
        <w:keepNext/>
      </w:pPr>
      <w:r>
        <w:rPr>
          <w:rFonts w:ascii="Arial Unicode MS" w:hAnsi="Arial Unicode MS" w:eastAsia="Arial Unicode MS" w:hint="eastAsia"/>
          <w:b w:val="0"/>
          <w:color w:val="000000"/>
          <w:sz w:val="36"/>
          <w:lang w:val="zh-CN" w:eastAsia="zh-CN"/>
        </w:rPr>
        <w:t>11 安装运行与验证状态</w:t>
      </w:r>
    </w:p>
    <w:p>
      <w:pPr>
        <w:pStyle w:val="Heading2"/>
      </w:pPr>
      <w:r>
        <w:rPr>
          <w:rFonts w:ascii="Arial Unicode MS" w:hAnsi="Arial Unicode MS" w:eastAsia="Arial Unicode MS" w:hint="eastAsia"/>
          <w:b w:val="0"/>
          <w:color w:val="000000"/>
          <w:sz w:val="26"/>
          <w:lang w:val="zh-CN" w:eastAsia="zh-CN"/>
        </w:rPr>
        <w:t>11 1 本地运行</w:t>
      </w:r>
    </w:p>
    <w:p>
      <w:pPr>
        <w:spacing w:after="120" w:line="317" w:lineRule="auto"/>
        <w:ind w:firstLine="420"/>
      </w:pPr>
      <w:r>
        <w:rPr>
          <w:rFonts w:ascii="Arial Unicode MS" w:hAnsi="Arial Unicode MS" w:eastAsia="Arial Unicode MS" w:hint="eastAsia"/>
          <w:color w:val="000000"/>
          <w:sz w:val="21"/>
          <w:lang w:val="zh-CN" w:eastAsia="zh-CN"/>
        </w:rPr>
        <w:t>在仓库根目录执行：</w:t>
      </w:r>
    </w:p>
    <w:p>
      <w:pPr>
        <w:spacing w:before="60" w:after="160" w:line="276" w:lineRule="auto"/>
        <w:ind w:left="255" w:right="255"/>
        <w:shd w:fill="F3F6F8"/>
      </w:pPr>
      <w:r>
        <w:rPr>
          <w:rFonts w:ascii="Arial Unicode MS" w:hAnsi="Arial Unicode MS" w:eastAsia="Arial Unicode MS" w:hint="eastAsia"/>
          <w:color w:val="1F2937"/>
          <w:sz w:val="19"/>
          <w:lang w:val="zh-CN" w:eastAsia="zh-CN"/>
        </w:rPr>
        <w:t>npm ci</w:t>
      </w:r>
      <w:r>
        <w:br/>
      </w:r>
      <w:r>
        <w:rPr>
          <w:rFonts w:ascii="Arial Unicode MS" w:hAnsi="Arial Unicode MS" w:eastAsia="Arial Unicode MS" w:hint="eastAsia"/>
          <w:color w:val="1F2937"/>
          <w:sz w:val="19"/>
          <w:lang w:val="zh-CN" w:eastAsia="zh-CN"/>
        </w:rPr>
        <w:t>npm run dev</w:t>
      </w:r>
    </w:p>
    <w:p>
      <w:pPr>
        <w:spacing w:after="120" w:line="317" w:lineRule="auto"/>
        <w:ind w:firstLine="420"/>
      </w:pPr>
      <w:r>
        <w:rPr>
          <w:rFonts w:ascii="Arial Unicode MS" w:hAnsi="Arial Unicode MS" w:eastAsia="Arial Unicode MS" w:hint="eastAsia"/>
          <w:color w:val="000000"/>
          <w:sz w:val="21"/>
          <w:lang w:val="zh-CN" w:eastAsia="zh-CN"/>
        </w:rPr>
        <w:t>默认无需外部服务即可运行 Mock 演示。切换 HTTP 读取时设置：</w:t>
      </w:r>
    </w:p>
    <w:p>
      <w:pPr>
        <w:spacing w:before="60" w:after="160" w:line="276" w:lineRule="auto"/>
        <w:ind w:left="255" w:right="255"/>
        <w:shd w:fill="F3F6F8"/>
      </w:pPr>
      <w:r>
        <w:rPr>
          <w:rFonts w:ascii="Arial Unicode MS" w:hAnsi="Arial Unicode MS" w:eastAsia="Arial Unicode MS" w:hint="eastAsia"/>
          <w:color w:val="1F2937"/>
          <w:sz w:val="19"/>
          <w:lang w:val="zh-CN" w:eastAsia="zh-CN"/>
        </w:rPr>
        <w:t>VITE_DASHBOARD_DATA_SOURCE=api</w:t>
      </w:r>
      <w:r>
        <w:br/>
      </w:r>
      <w:r>
        <w:rPr>
          <w:rFonts w:ascii="Arial Unicode MS" w:hAnsi="Arial Unicode MS" w:eastAsia="Arial Unicode MS" w:hint="eastAsia"/>
          <w:color w:val="1F2937"/>
          <w:sz w:val="19"/>
          <w:lang w:val="zh-CN" w:eastAsia="zh-CN"/>
        </w:rPr>
        <w:t>VITE_DASHBOARD_API_BASE=/api</w:t>
      </w:r>
    </w:p>
    <w:p>
      <w:pPr>
        <w:spacing w:after="120" w:line="317" w:lineRule="auto"/>
        <w:ind w:firstLine="420"/>
      </w:pPr>
      <w:r>
        <w:rPr>
          <w:rFonts w:ascii="Arial Unicode MS" w:hAnsi="Arial Unicode MS" w:eastAsia="Arial Unicode MS" w:hint="eastAsia"/>
          <w:color w:val="000000"/>
          <w:sz w:val="21"/>
          <w:lang w:val="zh-CN" w:eastAsia="zh-CN"/>
        </w:rPr>
        <w:t>Vite 前缀变量会进入前端构建，不得放入服务端密钥。生产静态部署还需配置同源代理、模型资源路径、HTTPS 和缓存策略。</w:t>
      </w:r>
    </w:p>
    <w:p>
      <w:pPr>
        <w:pStyle w:val="Heading2"/>
      </w:pPr>
      <w:r>
        <w:rPr>
          <w:rFonts w:ascii="Arial Unicode MS" w:hAnsi="Arial Unicode MS" w:eastAsia="Arial Unicode MS" w:hint="eastAsia"/>
          <w:b w:val="0"/>
          <w:color w:val="000000"/>
          <w:sz w:val="26"/>
          <w:lang w:val="zh-CN" w:eastAsia="zh-CN"/>
        </w:rPr>
        <w:t>11 2 验证命令</w:t>
      </w:r>
    </w:p>
    <w:p>
      <w:pPr>
        <w:spacing w:before="60" w:after="160" w:line="276" w:lineRule="auto"/>
        <w:ind w:left="255" w:right="255"/>
        <w:shd w:fill="F3F6F8"/>
      </w:pPr>
      <w:r>
        <w:rPr>
          <w:rFonts w:ascii="Arial Unicode MS" w:hAnsi="Arial Unicode MS" w:eastAsia="Arial Unicode MS" w:hint="eastAsia"/>
          <w:color w:val="1F2937"/>
          <w:sz w:val="19"/>
          <w:lang w:val="zh-CN" w:eastAsia="zh-CN"/>
        </w:rPr>
        <w:t>npm test</w:t>
      </w:r>
      <w:r>
        <w:br/>
      </w:r>
      <w:r>
        <w:rPr>
          <w:rFonts w:ascii="Arial Unicode MS" w:hAnsi="Arial Unicode MS" w:eastAsia="Arial Unicode MS" w:hint="eastAsia"/>
          <w:color w:val="1F2937"/>
          <w:sz w:val="19"/>
          <w:lang w:val="zh-CN" w:eastAsia="zh-CN"/>
        </w:rPr>
        <w:t>npm run type-check</w:t>
      </w:r>
      <w:r>
        <w:br/>
      </w:r>
      <w:r>
        <w:rPr>
          <w:rFonts w:ascii="Arial Unicode MS" w:hAnsi="Arial Unicode MS" w:eastAsia="Arial Unicode MS" w:hint="eastAsia"/>
          <w:color w:val="1F2937"/>
          <w:sz w:val="19"/>
          <w:lang w:val="zh-CN" w:eastAsia="zh-CN"/>
        </w:rPr>
        <w:t>npm run build</w:t>
      </w:r>
    </w:p>
    <w:p>
      <w:pPr>
        <w:pStyle w:val="Heading2"/>
      </w:pPr>
      <w:r>
        <w:rPr>
          <w:rFonts w:ascii="Arial Unicode MS" w:hAnsi="Arial Unicode MS" w:eastAsia="Arial Unicode MS" w:hint="eastAsia"/>
          <w:b w:val="0"/>
          <w:color w:val="000000"/>
          <w:sz w:val="26"/>
          <w:lang w:val="zh-CN" w:eastAsia="zh-CN"/>
        </w:rPr>
        <w:t>11 3 当前测试状态</w:t>
      </w:r>
    </w:p>
    <w:p>
      <w:pPr>
        <w:spacing w:after="120" w:line="317" w:lineRule="auto"/>
        <w:ind w:firstLine="420"/>
      </w:pPr>
      <w:r>
        <w:rPr>
          <w:rFonts w:ascii="Arial Unicode MS" w:hAnsi="Arial Unicode MS" w:eastAsia="Arial Unicode MS" w:hint="eastAsia"/>
          <w:color w:val="000000"/>
          <w:sz w:val="21"/>
          <w:lang w:val="zh-CN" w:eastAsia="zh-CN"/>
        </w:rPr>
        <w:t>当前自动化测试测试覆盖显热容量、充放互斥、容量边界、逐时损失与效率、电侧和热侧平衡、两类成本基线、制冷供热配置、设备详情、场景切换以及最新请求保护。</w:t>
      </w:r>
    </w:p>
    <w:p>
      <w:pPr>
        <w:spacing w:after="120" w:line="317" w:lineRule="auto"/>
        <w:ind w:firstLine="420"/>
      </w:pPr>
      <w:r>
        <w:rPr>
          <w:rFonts w:ascii="Arial Unicode MS" w:hAnsi="Arial Unicode MS" w:eastAsia="Arial Unicode MS" w:hint="eastAsia"/>
          <w:color w:val="000000"/>
          <w:sz w:val="21"/>
          <w:lang w:val="zh-CN" w:eastAsia="zh-CN"/>
        </w:rPr>
        <w:t>测试通过只说明当前代码满足已写断言，不代表现场冷热量计量、节能量、控制安全或工程设计已经验收。每次代码变化后都应重新运行完整测试、类型检查和构建。</w:t>
      </w:r>
    </w:p>
    <w:p>
      <w:pPr>
        <w:pStyle w:val="Heading2"/>
      </w:pPr>
      <w:r>
        <w:rPr>
          <w:rFonts w:ascii="Arial Unicode MS" w:hAnsi="Arial Unicode MS" w:eastAsia="Arial Unicode MS" w:hint="eastAsia"/>
          <w:b w:val="0"/>
          <w:color w:val="000000"/>
          <w:sz w:val="26"/>
          <w:lang w:val="zh-CN" w:eastAsia="zh-CN"/>
        </w:rPr>
        <w:t>11 4 演示检查</w:t>
      </w:r>
    </w:p>
    <w:p>
      <w:pPr>
        <w:spacing w:after="120" w:line="317" w:lineRule="auto"/>
        <w:ind w:firstLine="420"/>
      </w:pPr>
      <w:r>
        <w:rPr>
          <w:rFonts w:ascii="Arial Unicode MS" w:hAnsi="Arial Unicode MS" w:eastAsia="Arial Unicode MS" w:hint="eastAsia"/>
          <w:color w:val="000000"/>
          <w:sz w:val="21"/>
          <w:lang w:val="zh-CN" w:eastAsia="zh-CN"/>
        </w:rPr>
        <w:t>演示前检查字体、图表、三维模型和降级提示；依次验证季节切换、场景切换、小时回放、水罐详情、热侧图表、并发快速切换和告警定位。答辩中明确数据为 Mock，准备本地运行和录屏备份。</w:t>
      </w:r>
    </w:p>
    <w:p>
      <w:pPr>
        <w:pStyle w:val="Heading1"/>
        <w:keepNext/>
      </w:pPr>
      <w:r>
        <w:rPr>
          <w:rFonts w:ascii="Arial Unicode MS" w:hAnsi="Arial Unicode MS" w:eastAsia="Arial Unicode MS" w:hint="eastAsia"/>
          <w:b w:val="0"/>
          <w:color w:val="000000"/>
          <w:sz w:val="36"/>
          <w:lang w:val="zh-CN" w:eastAsia="zh-CN"/>
        </w:rPr>
        <w:t>12 试点验证与工程边界</w:t>
      </w:r>
    </w:p>
    <w:p>
      <w:pPr>
        <w:pStyle w:val="Heading2"/>
      </w:pPr>
      <w:r>
        <w:rPr>
          <w:rFonts w:ascii="Arial Unicode MS" w:hAnsi="Arial Unicode MS" w:eastAsia="Arial Unicode MS" w:hint="eastAsia"/>
          <w:b w:val="0"/>
          <w:color w:val="000000"/>
          <w:sz w:val="26"/>
          <w:lang w:val="zh-CN" w:eastAsia="zh-CN"/>
        </w:rPr>
        <w:t>12 1 小范围试点</w:t>
      </w:r>
    </w:p>
    <w:p>
      <w:pPr>
        <w:spacing w:after="120" w:line="317" w:lineRule="auto"/>
        <w:ind w:firstLine="420"/>
      </w:pPr>
      <w:r>
        <w:rPr>
          <w:rFonts w:ascii="Arial Unicode MS" w:hAnsi="Arial Unicode MS" w:eastAsia="Arial Unicode MS" w:hint="eastAsia"/>
          <w:color w:val="000000"/>
          <w:sz w:val="21"/>
          <w:lang w:val="zh-CN" w:eastAsia="zh-CN"/>
        </w:rPr>
        <w:t>先确认并网点和机组计量边界、热量表位置、供回水温度与流量、楼宇分区、占用计划和时钟同步，再积累覆盖不同天气与使用强度的基线。试验期保持舒适度和服务要求可比，记录缺失、异常和人工干预。</w:t>
      </w:r>
    </w:p>
    <w:p>
      <w:pPr>
        <w:spacing w:after="120" w:line="317" w:lineRule="auto"/>
        <w:ind w:firstLine="420"/>
      </w:pPr>
      <w:r>
        <w:rPr>
          <w:rFonts w:ascii="Arial Unicode MS" w:hAnsi="Arial Unicode MS" w:eastAsia="Arial Unicode MS" w:hint="eastAsia"/>
          <w:color w:val="000000"/>
          <w:sz w:val="21"/>
          <w:lang w:val="zh-CN" w:eastAsia="zh-CN"/>
        </w:rPr>
        <w:t>验证顺序建议为：只读监测 → 人工确认建议 → 受限自动执行。报告应包含原始数据、剔除规则、基线模型、参数版本、账单规则、舒适度结果与不确定性。</w:t>
      </w:r>
    </w:p>
    <w:p>
      <w:pPr>
        <w:pStyle w:val="Heading2"/>
      </w:pPr>
      <w:r>
        <w:rPr>
          <w:rFonts w:ascii="Arial Unicode MS" w:hAnsi="Arial Unicode MS" w:eastAsia="Arial Unicode MS" w:hint="eastAsia"/>
          <w:b w:val="0"/>
          <w:color w:val="000000"/>
          <w:sz w:val="26"/>
          <w:lang w:val="zh-CN" w:eastAsia="zh-CN"/>
        </w:rPr>
        <w:t>12 2 现场选型</w:t>
      </w:r>
    </w:p>
    <w:p>
      <w:pPr>
        <w:spacing w:after="120" w:line="317" w:lineRule="auto"/>
        <w:ind w:firstLine="420"/>
      </w:pPr>
      <w:r>
        <w:rPr>
          <w:rFonts w:ascii="Arial Unicode MS" w:hAnsi="Arial Unicode MS" w:eastAsia="Arial Unicode MS" w:hint="eastAsia"/>
          <w:color w:val="000000"/>
          <w:sz w:val="21"/>
          <w:lang w:val="zh-CN" w:eastAsia="zh-CN"/>
        </w:rPr>
        <w:t>实际水罐容积和温差必须依据逐时冷热负荷、目标移峰时长、机组余量、可用场地、换热方式、管网压差、保温损失和投资测算确定。水泵、阀门、布水器、换热器、热量表和传感器应由暖通、结构、电气和自控专业共同确认。</w:t>
      </w:r>
    </w:p>
    <w:p>
      <w:pPr>
        <w:spacing w:after="120" w:line="317" w:lineRule="auto"/>
        <w:ind w:firstLine="420"/>
      </w:pPr>
      <w:r>
        <w:rPr>
          <w:rFonts w:ascii="Arial Unicode MS" w:hAnsi="Arial Unicode MS" w:eastAsia="Arial Unicode MS" w:hint="eastAsia"/>
          <w:color w:val="000000"/>
          <w:sz w:val="21"/>
          <w:lang w:val="zh-CN" w:eastAsia="zh-CN"/>
        </w:rPr>
        <w:t>180 m³、6/13 ℃、45/35 ℃以及当前 COP 仅用于演示。项目不得据此直接采购设备、确定施工方案或承诺收益。</w:t>
      </w:r>
    </w:p>
    <w:p>
      <w:pPr>
        <w:pStyle w:val="Heading2"/>
      </w:pPr>
      <w:r>
        <w:rPr>
          <w:rFonts w:ascii="Arial Unicode MS" w:hAnsi="Arial Unicode MS" w:eastAsia="Arial Unicode MS" w:hint="eastAsia"/>
          <w:b w:val="0"/>
          <w:color w:val="000000"/>
          <w:sz w:val="26"/>
          <w:lang w:val="zh-CN" w:eastAsia="zh-CN"/>
        </w:rPr>
        <w:t>12 3 不在当前范围</w:t>
      </w:r>
    </w:p>
    <w:p>
      <w:pPr>
        <w:spacing w:after="120" w:line="317" w:lineRule="auto"/>
        <w:ind w:firstLine="420"/>
      </w:pPr>
      <w:r>
        <w:rPr>
          <w:rFonts w:ascii="Arial Unicode MS" w:hAnsi="Arial Unicode MS" w:eastAsia="Arial Unicode MS" w:hint="eastAsia"/>
          <w:color w:val="000000"/>
          <w:sz w:val="21"/>
          <w:lang w:val="zh-CN" w:eastAsia="zh-CN"/>
        </w:rPr>
        <w:t>当前不包含施工图设计、建筑结构复核、压力容器判定、泵阀选型、现场控制柜、保护与联锁、网络安全、生产后端、控制权限、调试投运和节能量保证。真实控制需要设备厂商、设计单位、施工单位与业主运维共同参与。</w:t>
      </w:r>
    </w:p>
    <w:p>
      <w:pPr>
        <w:pStyle w:val="Heading2"/>
      </w:pPr>
      <w:r>
        <w:rPr>
          <w:rFonts w:ascii="Arial Unicode MS" w:hAnsi="Arial Unicode MS" w:eastAsia="Arial Unicode MS" w:hint="eastAsia"/>
          <w:b w:val="0"/>
          <w:color w:val="000000"/>
          <w:sz w:val="26"/>
          <w:lang w:val="zh-CN" w:eastAsia="zh-CN"/>
        </w:rPr>
        <w:t>12 4 阶段路线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</w:tblPr>
      <w:tblGrid>
        <w:gridCol w:w="3324"/>
        <w:gridCol w:w="3324"/>
        <w:gridCol w:w="3324"/>
      </w:tblGrid>
      <w:tr>
        <w:trPr>
          <w:cantSplit/>
          <w:tblHeader w:val="true"/>
        </w:trPr>
        <w:tc>
          <w:tcPr>
            <w:tcW w:type="dxa" w:w="3324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DCE6F1"/>
          </w:tcPr>
          <w:p>
            <w:pPr>
              <w:spacing w:after="0" w:line="269" w:lineRule="auto"/>
              <w:jc w:val="center"/>
            </w:pPr>
            <w:r>
              <w:rPr>
                <w:rFonts w:ascii="Arial Unicode MS" w:hAnsi="Arial Unicode MS" w:eastAsia="Arial Unicode MS" w:hint="eastAsia"/>
                <w:b/>
                <w:color w:val="000000"/>
                <w:sz w:val="18"/>
                <w:lang w:val="zh-CN" w:eastAsia="zh-CN"/>
              </w:rPr>
              <w:t>阶段</w:t>
            </w:r>
          </w:p>
        </w:tc>
        <w:tc>
          <w:tcPr>
            <w:tcW w:type="dxa" w:w="3324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DCE6F1"/>
          </w:tcPr>
          <w:p>
            <w:pPr>
              <w:spacing w:after="0" w:line="269" w:lineRule="auto"/>
              <w:jc w:val="center"/>
            </w:pPr>
            <w:r>
              <w:rPr>
                <w:rFonts w:ascii="Arial Unicode MS" w:hAnsi="Arial Unicode MS" w:eastAsia="Arial Unicode MS" w:hint="eastAsia"/>
                <w:b/>
                <w:color w:val="000000"/>
                <w:sz w:val="18"/>
                <w:lang w:val="zh-CN" w:eastAsia="zh-CN"/>
              </w:rPr>
              <w:t>主要交付</w:t>
            </w:r>
          </w:p>
        </w:tc>
        <w:tc>
          <w:tcPr>
            <w:tcW w:type="dxa" w:w="3324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DCE6F1"/>
          </w:tcPr>
          <w:p>
            <w:pPr>
              <w:spacing w:after="0" w:line="269" w:lineRule="auto"/>
              <w:jc w:val="center"/>
            </w:pPr>
            <w:r>
              <w:rPr>
                <w:rFonts w:ascii="Arial Unicode MS" w:hAnsi="Arial Unicode MS" w:eastAsia="Arial Unicode MS" w:hint="eastAsia"/>
                <w:b/>
                <w:color w:val="000000"/>
                <w:sz w:val="18"/>
                <w:lang w:val="zh-CN" w:eastAsia="zh-CN"/>
              </w:rPr>
              <w:t>进入下一阶段的条件</w:t>
            </w:r>
          </w:p>
        </w:tc>
      </w:tr>
      <w:tr>
        <w:trPr>
          <w:cantSplit/>
        </w:trPr>
        <w:tc>
          <w:tcPr>
            <w:tcW w:type="dxa" w:w="3324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FFFFFF"/>
          </w:tcPr>
          <w:p>
            <w:pPr>
              <w:spacing w:after="0" w:line="269" w:lineRule="auto"/>
              <w:jc w:val="left"/>
            </w:pPr>
            <w:r>
              <w:rPr>
                <w:rFonts w:ascii="Arial Unicode MS" w:hAnsi="Arial Unicode MS" w:eastAsia="Arial Unicode MS" w:hint="eastAsia"/>
                <w:b w:val="0"/>
                <w:color w:val="000000"/>
                <w:sz w:val="18"/>
                <w:lang w:val="zh-CN" w:eastAsia="zh-CN"/>
              </w:rPr>
              <w:t>物理一致仿真</w:t>
            </w:r>
          </w:p>
        </w:tc>
        <w:tc>
          <w:tcPr>
            <w:tcW w:type="dxa" w:w="3324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FFFFFF"/>
          </w:tcPr>
          <w:p>
            <w:pPr>
              <w:spacing w:after="0" w:line="269" w:lineRule="auto"/>
              <w:jc w:val="left"/>
            </w:pPr>
            <w:r>
              <w:rPr>
                <w:rFonts w:ascii="Arial Unicode MS" w:hAnsi="Arial Unicode MS" w:eastAsia="Arial Unicode MS" w:hint="eastAsia"/>
                <w:b w:val="0"/>
                <w:color w:val="000000"/>
                <w:sz w:val="18"/>
                <w:lang w:val="zh-CN" w:eastAsia="zh-CN"/>
              </w:rPr>
              <w:t>两套账本 水罐递推 多方案对照</w:t>
            </w:r>
          </w:p>
        </w:tc>
        <w:tc>
          <w:tcPr>
            <w:tcW w:type="dxa" w:w="3324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FFFFFF"/>
          </w:tcPr>
          <w:p>
            <w:pPr>
              <w:spacing w:after="0" w:line="269" w:lineRule="auto"/>
              <w:jc w:val="left"/>
            </w:pPr>
            <w:r>
              <w:rPr>
                <w:rFonts w:ascii="Arial Unicode MS" w:hAnsi="Arial Unicode MS" w:eastAsia="Arial Unicode MS" w:hint="eastAsia"/>
                <w:b w:val="0"/>
                <w:color w:val="000000"/>
                <w:sz w:val="18"/>
                <w:lang w:val="zh-CN" w:eastAsia="zh-CN"/>
              </w:rPr>
              <w:t>边界用例通过 单位与去向完整</w:t>
            </w:r>
          </w:p>
        </w:tc>
      </w:tr>
      <w:tr>
        <w:trPr>
          <w:cantSplit/>
        </w:trPr>
        <w:tc>
          <w:tcPr>
            <w:tcW w:type="dxa" w:w="3324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F7F9FB"/>
          </w:tcPr>
          <w:p>
            <w:pPr>
              <w:spacing w:after="0" w:line="269" w:lineRule="auto"/>
              <w:jc w:val="left"/>
            </w:pPr>
            <w:r>
              <w:rPr>
                <w:rFonts w:ascii="Arial Unicode MS" w:hAnsi="Arial Unicode MS" w:eastAsia="Arial Unicode MS" w:hint="eastAsia"/>
                <w:b w:val="0"/>
                <w:color w:val="000000"/>
                <w:sz w:val="18"/>
                <w:lang w:val="zh-CN" w:eastAsia="zh-CN"/>
              </w:rPr>
              <w:t>单楼宇只读试点</w:t>
            </w:r>
          </w:p>
        </w:tc>
        <w:tc>
          <w:tcPr>
            <w:tcW w:type="dxa" w:w="3324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F7F9FB"/>
          </w:tcPr>
          <w:p>
            <w:pPr>
              <w:spacing w:after="0" w:line="269" w:lineRule="auto"/>
              <w:jc w:val="left"/>
            </w:pPr>
            <w:r>
              <w:rPr>
                <w:rFonts w:ascii="Arial Unicode MS" w:hAnsi="Arial Unicode MS" w:eastAsia="Arial Unicode MS" w:hint="eastAsia"/>
                <w:b w:val="0"/>
                <w:color w:val="000000"/>
                <w:sz w:val="18"/>
                <w:lang w:val="zh-CN" w:eastAsia="zh-CN"/>
              </w:rPr>
              <w:t>点位表 网关 计量与环境记录</w:t>
            </w:r>
          </w:p>
        </w:tc>
        <w:tc>
          <w:tcPr>
            <w:tcW w:type="dxa" w:w="3324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F7F9FB"/>
          </w:tcPr>
          <w:p>
            <w:pPr>
              <w:spacing w:after="0" w:line="269" w:lineRule="auto"/>
              <w:jc w:val="left"/>
            </w:pPr>
            <w:r>
              <w:rPr>
                <w:rFonts w:ascii="Arial Unicode MS" w:hAnsi="Arial Unicode MS" w:eastAsia="Arial Unicode MS" w:hint="eastAsia"/>
                <w:b w:val="0"/>
                <w:color w:val="000000"/>
                <w:sz w:val="18"/>
                <w:lang w:val="zh-CN" w:eastAsia="zh-CN"/>
              </w:rPr>
              <w:t>数据连续可追溯 计量边界一致</w:t>
            </w:r>
          </w:p>
        </w:tc>
      </w:tr>
      <w:tr>
        <w:trPr>
          <w:cantSplit/>
        </w:trPr>
        <w:tc>
          <w:tcPr>
            <w:tcW w:type="dxa" w:w="3324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FFFFFF"/>
          </w:tcPr>
          <w:p>
            <w:pPr>
              <w:spacing w:after="0" w:line="269" w:lineRule="auto"/>
              <w:jc w:val="left"/>
            </w:pPr>
            <w:r>
              <w:rPr>
                <w:rFonts w:ascii="Arial Unicode MS" w:hAnsi="Arial Unicode MS" w:eastAsia="Arial Unicode MS" w:hint="eastAsia"/>
                <w:b w:val="0"/>
                <w:color w:val="000000"/>
                <w:sz w:val="18"/>
                <w:lang w:val="zh-CN" w:eastAsia="zh-CN"/>
              </w:rPr>
              <w:t>受限策略执行</w:t>
            </w:r>
          </w:p>
        </w:tc>
        <w:tc>
          <w:tcPr>
            <w:tcW w:type="dxa" w:w="3324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FFFFFF"/>
          </w:tcPr>
          <w:p>
            <w:pPr>
              <w:spacing w:after="0" w:line="269" w:lineRule="auto"/>
              <w:jc w:val="left"/>
            </w:pPr>
            <w:r>
              <w:rPr>
                <w:rFonts w:ascii="Arial Unicode MS" w:hAnsi="Arial Unicode MS" w:eastAsia="Arial Unicode MS" w:hint="eastAsia"/>
                <w:b w:val="0"/>
                <w:color w:val="000000"/>
                <w:sz w:val="18"/>
                <w:lang w:val="zh-CN" w:eastAsia="zh-CN"/>
              </w:rPr>
              <w:t>服务端计划 人工确认 指令回执</w:t>
            </w:r>
          </w:p>
        </w:tc>
        <w:tc>
          <w:tcPr>
            <w:tcW w:type="dxa" w:w="3324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FFFFFF"/>
          </w:tcPr>
          <w:p>
            <w:pPr>
              <w:spacing w:after="0" w:line="269" w:lineRule="auto"/>
              <w:jc w:val="left"/>
            </w:pPr>
            <w:r>
              <w:rPr>
                <w:rFonts w:ascii="Arial Unicode MS" w:hAnsi="Arial Unicode MS" w:eastAsia="Arial Unicode MS" w:hint="eastAsia"/>
                <w:b w:val="0"/>
                <w:color w:val="000000"/>
                <w:sz w:val="18"/>
                <w:lang w:val="zh-CN" w:eastAsia="zh-CN"/>
              </w:rPr>
              <w:t>越界可拦截 超时可回退</w:t>
            </w:r>
          </w:p>
        </w:tc>
      </w:tr>
      <w:tr>
        <w:trPr>
          <w:cantSplit/>
        </w:trPr>
        <w:tc>
          <w:tcPr>
            <w:tcW w:type="dxa" w:w="3324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F7F9FB"/>
          </w:tcPr>
          <w:p>
            <w:pPr>
              <w:spacing w:after="0" w:line="269" w:lineRule="auto"/>
              <w:jc w:val="left"/>
            </w:pPr>
            <w:r>
              <w:rPr>
                <w:rFonts w:ascii="Arial Unicode MS" w:hAnsi="Arial Unicode MS" w:eastAsia="Arial Unicode MS" w:hint="eastAsia"/>
                <w:b w:val="0"/>
                <w:color w:val="000000"/>
                <w:sz w:val="18"/>
                <w:lang w:val="zh-CN" w:eastAsia="zh-CN"/>
              </w:rPr>
              <w:t>效果与成本验证</w:t>
            </w:r>
          </w:p>
        </w:tc>
        <w:tc>
          <w:tcPr>
            <w:tcW w:type="dxa" w:w="3324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F7F9FB"/>
          </w:tcPr>
          <w:p>
            <w:pPr>
              <w:spacing w:after="0" w:line="269" w:lineRule="auto"/>
              <w:jc w:val="left"/>
            </w:pPr>
            <w:r>
              <w:rPr>
                <w:rFonts w:ascii="Arial Unicode MS" w:hAnsi="Arial Unicode MS" w:eastAsia="Arial Unicode MS" w:hint="eastAsia"/>
                <w:b w:val="0"/>
                <w:color w:val="000000"/>
                <w:sz w:val="18"/>
                <w:lang w:val="zh-CN" w:eastAsia="zh-CN"/>
              </w:rPr>
              <w:t>基线报告 舒适度与账单测算</w:t>
            </w:r>
          </w:p>
        </w:tc>
        <w:tc>
          <w:tcPr>
            <w:tcW w:type="dxa" w:w="3324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F7F9FB"/>
          </w:tcPr>
          <w:p>
            <w:pPr>
              <w:spacing w:after="0" w:line="269" w:lineRule="auto"/>
              <w:jc w:val="left"/>
            </w:pPr>
            <w:r>
              <w:rPr>
                <w:rFonts w:ascii="Arial Unicode MS" w:hAnsi="Arial Unicode MS" w:eastAsia="Arial Unicode MS" w:hint="eastAsia"/>
                <w:b w:val="0"/>
                <w:color w:val="000000"/>
                <w:sz w:val="18"/>
                <w:lang w:val="zh-CN" w:eastAsia="zh-CN"/>
              </w:rPr>
              <w:t>结果可复核 风险可接受</w:t>
            </w:r>
          </w:p>
        </w:tc>
      </w:tr>
      <w:tr>
        <w:trPr>
          <w:cantSplit/>
        </w:trPr>
        <w:tc>
          <w:tcPr>
            <w:tcW w:type="dxa" w:w="3324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FFFFFF"/>
          </w:tcPr>
          <w:p>
            <w:pPr>
              <w:spacing w:after="0" w:line="269" w:lineRule="auto"/>
              <w:jc w:val="left"/>
            </w:pPr>
            <w:r>
              <w:rPr>
                <w:rFonts w:ascii="Arial Unicode MS" w:hAnsi="Arial Unicode MS" w:eastAsia="Arial Unicode MS" w:hint="eastAsia"/>
                <w:b w:val="0"/>
                <w:color w:val="000000"/>
                <w:sz w:val="18"/>
                <w:lang w:val="zh-CN" w:eastAsia="zh-CN"/>
              </w:rPr>
              <w:t>扩展复制</w:t>
            </w:r>
          </w:p>
        </w:tc>
        <w:tc>
          <w:tcPr>
            <w:tcW w:type="dxa" w:w="3324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FFFFFF"/>
          </w:tcPr>
          <w:p>
            <w:pPr>
              <w:spacing w:after="0" w:line="269" w:lineRule="auto"/>
              <w:jc w:val="left"/>
            </w:pPr>
            <w:r>
              <w:rPr>
                <w:rFonts w:ascii="Arial Unicode MS" w:hAnsi="Arial Unicode MS" w:eastAsia="Arial Unicode MS" w:hint="eastAsia"/>
                <w:b w:val="0"/>
                <w:color w:val="000000"/>
                <w:sz w:val="18"/>
                <w:lang w:val="zh-CN" w:eastAsia="zh-CN"/>
              </w:rPr>
              <w:t>多楼宇配置 权限 运维与交付包</w:t>
            </w:r>
          </w:p>
        </w:tc>
        <w:tc>
          <w:tcPr>
            <w:tcW w:type="dxa" w:w="3324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FFFFFF"/>
          </w:tcPr>
          <w:p>
            <w:pPr>
              <w:spacing w:after="0" w:line="269" w:lineRule="auto"/>
              <w:jc w:val="left"/>
            </w:pPr>
            <w:r>
              <w:rPr>
                <w:rFonts w:ascii="Arial Unicode MS" w:hAnsi="Arial Unicode MS" w:eastAsia="Arial Unicode MS" w:hint="eastAsia"/>
                <w:b w:val="0"/>
                <w:color w:val="000000"/>
                <w:sz w:val="18"/>
                <w:lang w:val="zh-CN" w:eastAsia="zh-CN"/>
              </w:rPr>
              <w:t>不依赖人工改代码</w:t>
            </w:r>
          </w:p>
        </w:tc>
      </w:tr>
    </w:tbl>
    <w:p>
      <w:pPr>
        <w:spacing w:after="40"/>
      </w:pPr>
    </w:p>
    <w:p>
      <w:pPr>
        <w:pStyle w:val="Heading1"/>
        <w:keepNext/>
      </w:pPr>
      <w:r>
        <w:rPr>
          <w:rFonts w:ascii="Arial Unicode MS" w:hAnsi="Arial Unicode MS" w:eastAsia="Arial Unicode MS" w:hint="eastAsia"/>
          <w:b w:val="0"/>
          <w:color w:val="000000"/>
          <w:sz w:val="36"/>
          <w:lang w:val="zh-CN" w:eastAsia="zh-CN"/>
        </w:rPr>
        <w:t>13 术语与资料索引</w:t>
      </w:r>
    </w:p>
    <w:p>
      <w:pPr>
        <w:pStyle w:val="Heading2"/>
      </w:pPr>
      <w:r>
        <w:rPr>
          <w:rFonts w:ascii="Arial Unicode MS" w:hAnsi="Arial Unicode MS" w:eastAsia="Arial Unicode MS" w:hint="eastAsia"/>
          <w:b w:val="0"/>
          <w:color w:val="000000"/>
          <w:sz w:val="26"/>
          <w:lang w:val="zh-CN" w:eastAsia="zh-CN"/>
        </w:rPr>
        <w:t>13 1 常用术语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</w:tblPr>
      <w:tblGrid>
        <w:gridCol w:w="4986"/>
        <w:gridCol w:w="4986"/>
      </w:tblGrid>
      <w:tr>
        <w:trPr>
          <w:cantSplit/>
          <w:tblHeader w:val="true"/>
        </w:trPr>
        <w:tc>
          <w:tcPr>
            <w:tcW w:type="dxa" w:w="4986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DCE6F1"/>
          </w:tcPr>
          <w:p>
            <w:pPr>
              <w:spacing w:after="0" w:line="269" w:lineRule="auto"/>
              <w:jc w:val="center"/>
            </w:pPr>
            <w:r>
              <w:rPr>
                <w:rFonts w:ascii="Arial Unicode MS" w:hAnsi="Arial Unicode MS" w:eastAsia="Arial Unicode MS" w:hint="eastAsia"/>
                <w:b/>
                <w:color w:val="000000"/>
                <w:sz w:val="18"/>
                <w:lang w:val="zh-CN" w:eastAsia="zh-CN"/>
              </w:rPr>
              <w:t>术语</w:t>
            </w:r>
          </w:p>
        </w:tc>
        <w:tc>
          <w:tcPr>
            <w:tcW w:type="dxa" w:w="4986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DCE6F1"/>
          </w:tcPr>
          <w:p>
            <w:pPr>
              <w:spacing w:after="0" w:line="269" w:lineRule="auto"/>
              <w:jc w:val="center"/>
            </w:pPr>
            <w:r>
              <w:rPr>
                <w:rFonts w:ascii="Arial Unicode MS" w:hAnsi="Arial Unicode MS" w:eastAsia="Arial Unicode MS" w:hint="eastAsia"/>
                <w:b/>
                <w:color w:val="000000"/>
                <w:sz w:val="18"/>
                <w:lang w:val="zh-CN" w:eastAsia="zh-CN"/>
              </w:rPr>
              <w:t>本项目含义</w:t>
            </w:r>
          </w:p>
        </w:tc>
      </w:tr>
      <w:tr>
        <w:trPr>
          <w:cantSplit/>
        </w:trPr>
        <w:tc>
          <w:tcPr>
            <w:tcW w:type="dxa" w:w="4986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FFFFFF"/>
          </w:tcPr>
          <w:p>
            <w:pPr>
              <w:spacing w:after="0" w:line="269" w:lineRule="auto"/>
              <w:jc w:val="left"/>
            </w:pPr>
            <w:r>
              <w:rPr>
                <w:rFonts w:ascii="Arial Unicode MS" w:hAnsi="Arial Unicode MS" w:eastAsia="Arial Unicode MS" w:hint="eastAsia"/>
                <w:b w:val="0"/>
                <w:color w:val="000000"/>
                <w:sz w:val="18"/>
                <w:lang w:val="zh-CN" w:eastAsia="zh-CN"/>
              </w:rPr>
              <w:t>kW</w:t>
            </w:r>
          </w:p>
        </w:tc>
        <w:tc>
          <w:tcPr>
            <w:tcW w:type="dxa" w:w="4986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FFFFFF"/>
          </w:tcPr>
          <w:p>
            <w:pPr>
              <w:spacing w:after="0" w:line="269" w:lineRule="auto"/>
              <w:jc w:val="left"/>
            </w:pPr>
            <w:r>
              <w:rPr>
                <w:rFonts w:ascii="Arial Unicode MS" w:hAnsi="Arial Unicode MS" w:eastAsia="Arial Unicode MS" w:hint="eastAsia"/>
                <w:b w:val="0"/>
                <w:color w:val="000000"/>
                <w:sz w:val="18"/>
                <w:lang w:val="zh-CN" w:eastAsia="zh-CN"/>
              </w:rPr>
              <w:t>电功率 某时刻或区间平均的用电发电速率</w:t>
            </w:r>
          </w:p>
        </w:tc>
      </w:tr>
      <w:tr>
        <w:trPr>
          <w:cantSplit/>
        </w:trPr>
        <w:tc>
          <w:tcPr>
            <w:tcW w:type="dxa" w:w="4986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F7F9FB"/>
          </w:tcPr>
          <w:p>
            <w:pPr>
              <w:spacing w:after="0" w:line="269" w:lineRule="auto"/>
              <w:jc w:val="left"/>
            </w:pPr>
            <w:r>
              <w:rPr>
                <w:rFonts w:ascii="Arial Unicode MS" w:hAnsi="Arial Unicode MS" w:eastAsia="Arial Unicode MS" w:hint="eastAsia"/>
                <w:b w:val="0"/>
                <w:color w:val="000000"/>
                <w:sz w:val="18"/>
                <w:lang w:val="zh-CN" w:eastAsia="zh-CN"/>
              </w:rPr>
              <w:t>kWh</w:t>
            </w:r>
          </w:p>
        </w:tc>
        <w:tc>
          <w:tcPr>
            <w:tcW w:type="dxa" w:w="4986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F7F9FB"/>
          </w:tcPr>
          <w:p>
            <w:pPr>
              <w:spacing w:after="0" w:line="269" w:lineRule="auto"/>
              <w:jc w:val="left"/>
            </w:pPr>
            <w:r>
              <w:rPr>
                <w:rFonts w:ascii="Arial Unicode MS" w:hAnsi="Arial Unicode MS" w:eastAsia="Arial Unicode MS" w:hint="eastAsia"/>
                <w:b w:val="0"/>
                <w:color w:val="000000"/>
                <w:sz w:val="18"/>
                <w:lang w:val="zh-CN" w:eastAsia="zh-CN"/>
              </w:rPr>
              <w:t>电能 1 kW 持续 1 小时对应 1 kWh</w:t>
            </w:r>
          </w:p>
        </w:tc>
      </w:tr>
      <w:tr>
        <w:trPr>
          <w:cantSplit/>
        </w:trPr>
        <w:tc>
          <w:tcPr>
            <w:tcW w:type="dxa" w:w="4986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FFFFFF"/>
          </w:tcPr>
          <w:p>
            <w:pPr>
              <w:spacing w:after="0" w:line="269" w:lineRule="auto"/>
              <w:jc w:val="left"/>
            </w:pPr>
            <w:r>
              <w:rPr>
                <w:rFonts w:ascii="Arial Unicode MS" w:hAnsi="Arial Unicode MS" w:eastAsia="Arial Unicode MS" w:hint="eastAsia"/>
                <w:b w:val="0"/>
                <w:color w:val="000000"/>
                <w:sz w:val="18"/>
                <w:lang w:val="zh-CN" w:eastAsia="zh-CN"/>
              </w:rPr>
              <w:t>kWth</w:t>
            </w:r>
          </w:p>
        </w:tc>
        <w:tc>
          <w:tcPr>
            <w:tcW w:type="dxa" w:w="4986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FFFFFF"/>
          </w:tcPr>
          <w:p>
            <w:pPr>
              <w:spacing w:after="0" w:line="269" w:lineRule="auto"/>
              <w:jc w:val="left"/>
            </w:pPr>
            <w:r>
              <w:rPr>
                <w:rFonts w:ascii="Arial Unicode MS" w:hAnsi="Arial Unicode MS" w:eastAsia="Arial Unicode MS" w:hint="eastAsia"/>
                <w:b w:val="0"/>
                <w:color w:val="000000"/>
                <w:sz w:val="18"/>
                <w:lang w:val="zh-CN" w:eastAsia="zh-CN"/>
              </w:rPr>
              <w:t>热功率 表示供冷或供热速率</w:t>
            </w:r>
          </w:p>
        </w:tc>
      </w:tr>
      <w:tr>
        <w:trPr>
          <w:cantSplit/>
        </w:trPr>
        <w:tc>
          <w:tcPr>
            <w:tcW w:type="dxa" w:w="4986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F7F9FB"/>
          </w:tcPr>
          <w:p>
            <w:pPr>
              <w:spacing w:after="0" w:line="269" w:lineRule="auto"/>
              <w:jc w:val="left"/>
            </w:pPr>
            <w:r>
              <w:rPr>
                <w:rFonts w:ascii="Arial Unicode MS" w:hAnsi="Arial Unicode MS" w:eastAsia="Arial Unicode MS" w:hint="eastAsia"/>
                <w:b w:val="0"/>
                <w:color w:val="000000"/>
                <w:sz w:val="18"/>
                <w:lang w:val="zh-CN" w:eastAsia="zh-CN"/>
              </w:rPr>
              <w:t>kWhth</w:t>
            </w:r>
          </w:p>
        </w:tc>
        <w:tc>
          <w:tcPr>
            <w:tcW w:type="dxa" w:w="4986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F7F9FB"/>
          </w:tcPr>
          <w:p>
            <w:pPr>
              <w:spacing w:after="0" w:line="269" w:lineRule="auto"/>
              <w:jc w:val="left"/>
            </w:pPr>
            <w:r>
              <w:rPr>
                <w:rFonts w:ascii="Arial Unicode MS" w:hAnsi="Arial Unicode MS" w:eastAsia="Arial Unicode MS" w:hint="eastAsia"/>
                <w:b w:val="0"/>
                <w:color w:val="000000"/>
                <w:sz w:val="18"/>
                <w:lang w:val="zh-CN" w:eastAsia="zh-CN"/>
              </w:rPr>
              <w:t>冷热量 1 kWth 持续 1 小时对应 1 kWhth</w:t>
            </w:r>
          </w:p>
        </w:tc>
      </w:tr>
      <w:tr>
        <w:trPr>
          <w:cantSplit/>
        </w:trPr>
        <w:tc>
          <w:tcPr>
            <w:tcW w:type="dxa" w:w="4986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FFFFFF"/>
          </w:tcPr>
          <w:p>
            <w:pPr>
              <w:spacing w:after="0" w:line="269" w:lineRule="auto"/>
              <w:jc w:val="left"/>
            </w:pPr>
            <w:r>
              <w:rPr>
                <w:rFonts w:ascii="Arial Unicode MS" w:hAnsi="Arial Unicode MS" w:eastAsia="Arial Unicode MS" w:hint="eastAsia"/>
                <w:b w:val="0"/>
                <w:color w:val="000000"/>
                <w:sz w:val="18"/>
                <w:lang w:val="zh-CN" w:eastAsia="zh-CN"/>
              </w:rPr>
              <w:t>COP</w:t>
            </w:r>
          </w:p>
        </w:tc>
        <w:tc>
          <w:tcPr>
            <w:tcW w:type="dxa" w:w="4986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FFFFFF"/>
          </w:tcPr>
          <w:p>
            <w:pPr>
              <w:spacing w:after="0" w:line="269" w:lineRule="auto"/>
              <w:jc w:val="left"/>
            </w:pPr>
            <w:r>
              <w:rPr>
                <w:rFonts w:ascii="Arial Unicode MS" w:hAnsi="Arial Unicode MS" w:eastAsia="Arial Unicode MS" w:hint="eastAsia"/>
                <w:b w:val="0"/>
                <w:color w:val="000000"/>
                <w:sz w:val="18"/>
                <w:lang w:val="zh-CN" w:eastAsia="zh-CN"/>
              </w:rPr>
              <w:t>机组输出冷热量与输入电能的比值</w:t>
            </w:r>
          </w:p>
        </w:tc>
      </w:tr>
      <w:tr>
        <w:trPr>
          <w:cantSplit/>
        </w:trPr>
        <w:tc>
          <w:tcPr>
            <w:tcW w:type="dxa" w:w="4986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F7F9FB"/>
          </w:tcPr>
          <w:p>
            <w:pPr>
              <w:spacing w:after="0" w:line="269" w:lineRule="auto"/>
              <w:jc w:val="left"/>
            </w:pPr>
            <w:r>
              <w:rPr>
                <w:rFonts w:ascii="Arial Unicode MS" w:hAnsi="Arial Unicode MS" w:eastAsia="Arial Unicode MS" w:hint="eastAsia"/>
                <w:b w:val="0"/>
                <w:color w:val="000000"/>
                <w:sz w:val="18"/>
                <w:lang w:val="zh-CN" w:eastAsia="zh-CN"/>
              </w:rPr>
              <w:t>分层水罐</w:t>
            </w:r>
          </w:p>
        </w:tc>
        <w:tc>
          <w:tcPr>
            <w:tcW w:type="dxa" w:w="4986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F7F9FB"/>
          </w:tcPr>
          <w:p>
            <w:pPr>
              <w:spacing w:after="0" w:line="269" w:lineRule="auto"/>
              <w:jc w:val="left"/>
            </w:pPr>
            <w:r>
              <w:rPr>
                <w:rFonts w:ascii="Arial Unicode MS" w:hAnsi="Arial Unicode MS" w:eastAsia="Arial Unicode MS" w:hint="eastAsia"/>
                <w:b w:val="0"/>
                <w:color w:val="000000"/>
                <w:sz w:val="18"/>
                <w:lang w:val="zh-CN" w:eastAsia="zh-CN"/>
              </w:rPr>
              <w:t>依靠温度分层保存可用冷水或热水的保温水罐</w:t>
            </w:r>
          </w:p>
        </w:tc>
      </w:tr>
      <w:tr>
        <w:trPr>
          <w:cantSplit/>
        </w:trPr>
        <w:tc>
          <w:tcPr>
            <w:tcW w:type="dxa" w:w="4986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FFFFFF"/>
          </w:tcPr>
          <w:p>
            <w:pPr>
              <w:spacing w:after="0" w:line="269" w:lineRule="auto"/>
              <w:jc w:val="left"/>
            </w:pPr>
            <w:r>
              <w:rPr>
                <w:rFonts w:ascii="Arial Unicode MS" w:hAnsi="Arial Unicode MS" w:eastAsia="Arial Unicode MS" w:hint="eastAsia"/>
                <w:b w:val="0"/>
                <w:color w:val="000000"/>
                <w:sz w:val="18"/>
                <w:lang w:val="zh-CN" w:eastAsia="zh-CN"/>
              </w:rPr>
              <w:t>部分蓄能</w:t>
            </w:r>
          </w:p>
        </w:tc>
        <w:tc>
          <w:tcPr>
            <w:tcW w:type="dxa" w:w="4986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FFFFFF"/>
          </w:tcPr>
          <w:p>
            <w:pPr>
              <w:spacing w:after="0" w:line="269" w:lineRule="auto"/>
              <w:jc w:val="left"/>
            </w:pPr>
            <w:r>
              <w:rPr>
                <w:rFonts w:ascii="Arial Unicode MS" w:hAnsi="Arial Unicode MS" w:eastAsia="Arial Unicode MS" w:hint="eastAsia"/>
                <w:b w:val="0"/>
                <w:color w:val="000000"/>
                <w:sz w:val="18"/>
                <w:lang w:val="zh-CN" w:eastAsia="zh-CN"/>
              </w:rPr>
              <w:t>水罐承担部分热负荷 机组承担余量的运行方式</w:t>
            </w:r>
          </w:p>
        </w:tc>
      </w:tr>
      <w:tr>
        <w:trPr>
          <w:cantSplit/>
        </w:trPr>
        <w:tc>
          <w:tcPr>
            <w:tcW w:type="dxa" w:w="4986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F7F9FB"/>
          </w:tcPr>
          <w:p>
            <w:pPr>
              <w:spacing w:after="0" w:line="269" w:lineRule="auto"/>
              <w:jc w:val="left"/>
            </w:pPr>
            <w:r>
              <w:rPr>
                <w:rFonts w:ascii="Arial Unicode MS" w:hAnsi="Arial Unicode MS" w:eastAsia="Arial Unicode MS" w:hint="eastAsia"/>
                <w:b w:val="0"/>
                <w:color w:val="000000"/>
                <w:sz w:val="18"/>
                <w:lang w:val="zh-CN" w:eastAsia="zh-CN"/>
              </w:rPr>
              <w:t>EMS</w:t>
            </w:r>
          </w:p>
        </w:tc>
        <w:tc>
          <w:tcPr>
            <w:tcW w:type="dxa" w:w="4986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F7F9FB"/>
          </w:tcPr>
          <w:p>
            <w:pPr>
              <w:spacing w:after="0" w:line="269" w:lineRule="auto"/>
              <w:jc w:val="left"/>
            </w:pPr>
            <w:r>
              <w:rPr>
                <w:rFonts w:ascii="Arial Unicode MS" w:hAnsi="Arial Unicode MS" w:eastAsia="Arial Unicode MS" w:hint="eastAsia"/>
                <w:b w:val="0"/>
                <w:color w:val="000000"/>
                <w:sz w:val="18"/>
                <w:lang w:val="zh-CN" w:eastAsia="zh-CN"/>
              </w:rPr>
              <w:t>能源管理系统 负责计划 协调 监控和记录</w:t>
            </w:r>
          </w:p>
        </w:tc>
      </w:tr>
      <w:tr>
        <w:trPr>
          <w:cantSplit/>
        </w:trPr>
        <w:tc>
          <w:tcPr>
            <w:tcW w:type="dxa" w:w="4986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FFFFFF"/>
          </w:tcPr>
          <w:p>
            <w:pPr>
              <w:spacing w:after="0" w:line="269" w:lineRule="auto"/>
              <w:jc w:val="left"/>
            </w:pPr>
            <w:r>
              <w:rPr>
                <w:rFonts w:ascii="Arial Unicode MS" w:hAnsi="Arial Unicode MS" w:eastAsia="Arial Unicode MS" w:hint="eastAsia"/>
                <w:b w:val="0"/>
                <w:color w:val="000000"/>
                <w:sz w:val="18"/>
                <w:lang w:val="zh-CN" w:eastAsia="zh-CN"/>
              </w:rPr>
              <w:t>HVAC</w:t>
            </w:r>
          </w:p>
        </w:tc>
        <w:tc>
          <w:tcPr>
            <w:tcW w:type="dxa" w:w="4986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FFFFFF"/>
          </w:tcPr>
          <w:p>
            <w:pPr>
              <w:spacing w:after="0" w:line="269" w:lineRule="auto"/>
              <w:jc w:val="left"/>
            </w:pPr>
            <w:r>
              <w:rPr>
                <w:rFonts w:ascii="Arial Unicode MS" w:hAnsi="Arial Unicode MS" w:eastAsia="Arial Unicode MS" w:hint="eastAsia"/>
                <w:b w:val="0"/>
                <w:color w:val="000000"/>
                <w:sz w:val="18"/>
                <w:lang w:val="zh-CN" w:eastAsia="zh-CN"/>
              </w:rPr>
              <w:t>供暖 通风与空气调节系统</w:t>
            </w:r>
          </w:p>
        </w:tc>
      </w:tr>
      <w:tr>
        <w:trPr>
          <w:cantSplit/>
        </w:trPr>
        <w:tc>
          <w:tcPr>
            <w:tcW w:type="dxa" w:w="4986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F7F9FB"/>
          </w:tcPr>
          <w:p>
            <w:pPr>
              <w:spacing w:after="0" w:line="269" w:lineRule="auto"/>
              <w:jc w:val="left"/>
            </w:pPr>
            <w:r>
              <w:rPr>
                <w:rFonts w:ascii="Arial Unicode MS" w:hAnsi="Arial Unicode MS" w:eastAsia="Arial Unicode MS" w:hint="eastAsia"/>
                <w:b w:val="0"/>
                <w:color w:val="000000"/>
                <w:sz w:val="18"/>
                <w:lang w:val="zh-CN" w:eastAsia="zh-CN"/>
              </w:rPr>
              <w:t>数字孪生</w:t>
            </w:r>
          </w:p>
        </w:tc>
        <w:tc>
          <w:tcPr>
            <w:tcW w:type="dxa" w:w="4986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F7F9FB"/>
          </w:tcPr>
          <w:p>
            <w:pPr>
              <w:spacing w:after="0" w:line="269" w:lineRule="auto"/>
              <w:jc w:val="left"/>
            </w:pPr>
            <w:r>
              <w:rPr>
                <w:rFonts w:ascii="Arial Unicode MS" w:hAnsi="Arial Unicode MS" w:eastAsia="Arial Unicode MS" w:hint="eastAsia"/>
                <w:b w:val="0"/>
                <w:color w:val="000000"/>
                <w:sz w:val="18"/>
                <w:lang w:val="zh-CN" w:eastAsia="zh-CN"/>
              </w:rPr>
              <w:t>关联设备结构与状态的数字表示 当前为示意模型</w:t>
            </w:r>
          </w:p>
        </w:tc>
      </w:tr>
      <w:tr>
        <w:trPr>
          <w:cantSplit/>
        </w:trPr>
        <w:tc>
          <w:tcPr>
            <w:tcW w:type="dxa" w:w="4986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FFFFFF"/>
          </w:tcPr>
          <w:p>
            <w:pPr>
              <w:spacing w:after="0" w:line="269" w:lineRule="auto"/>
              <w:jc w:val="left"/>
            </w:pPr>
            <w:r>
              <w:rPr>
                <w:rFonts w:ascii="Arial Unicode MS" w:hAnsi="Arial Unicode MS" w:eastAsia="Arial Unicode MS" w:hint="eastAsia"/>
                <w:b w:val="0"/>
                <w:color w:val="000000"/>
                <w:sz w:val="18"/>
                <w:lang w:val="zh-CN" w:eastAsia="zh-CN"/>
              </w:rPr>
              <w:t>Mock</w:t>
            </w:r>
          </w:p>
        </w:tc>
        <w:tc>
          <w:tcPr>
            <w:tcW w:type="dxa" w:w="4986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FFFFFF"/>
          </w:tcPr>
          <w:p>
            <w:pPr>
              <w:spacing w:after="0" w:line="269" w:lineRule="auto"/>
              <w:jc w:val="left"/>
            </w:pPr>
            <w:r>
              <w:rPr>
                <w:rFonts w:ascii="Arial Unicode MS" w:hAnsi="Arial Unicode MS" w:eastAsia="Arial Unicode MS" w:hint="eastAsia"/>
                <w:b w:val="0"/>
                <w:color w:val="000000"/>
                <w:sz w:val="18"/>
                <w:lang w:val="zh-CN" w:eastAsia="zh-CN"/>
              </w:rPr>
              <w:t>为开发和演示生成的数据 不是现场测量值</w:t>
            </w:r>
          </w:p>
        </w:tc>
      </w:tr>
    </w:tbl>
    <w:p>
      <w:pPr>
        <w:spacing w:after="40"/>
      </w:pPr>
    </w:p>
    <w:p>
      <w:pPr>
        <w:pStyle w:val="Heading2"/>
      </w:pPr>
      <w:r>
        <w:rPr>
          <w:rFonts w:ascii="Arial Unicode MS" w:hAnsi="Arial Unicode MS" w:eastAsia="Arial Unicode MS" w:hint="eastAsia"/>
          <w:b w:val="0"/>
          <w:color w:val="000000"/>
          <w:sz w:val="26"/>
          <w:lang w:val="zh-CN" w:eastAsia="zh-CN"/>
        </w:rPr>
        <w:t>13 2 当前实现索引</w:t>
      </w:r>
    </w:p>
    <w:p>
      <w:pPr>
        <w:spacing w:after="120" w:line="317" w:lineRule="auto"/>
        <w:ind w:firstLine="420"/>
      </w:pPr>
      <w:r>
        <w:rPr>
          <w:rFonts w:ascii="Arial Unicode MS" w:hAnsi="Arial Unicode MS" w:eastAsia="Arial Unicode MS" w:hint="eastAsia"/>
          <w:color w:val="000000"/>
          <w:sz w:val="21"/>
          <w:lang w:val="zh-CN" w:eastAsia="zh-CN"/>
        </w:rPr>
        <w:t>以下路径均相对于仓库根目录：</w:t>
      </w:r>
    </w:p>
    <w:p>
      <w:pPr>
        <w:pStyle w:val="ListNumber"/>
        <w:spacing w:after="120" w:line="317" w:lineRule="auto"/>
        <w:numPr>
          <w:ilvl w:val="0"/>
          <w:numId w:val="11"/>
        </w:numPr>
      </w:pPr>
      <w:r>
        <w:rPr>
          <w:rFonts w:ascii="Arial Unicode MS" w:hAnsi="Arial Unicode MS" w:eastAsia="Arial Unicode MS" w:hint="eastAsia"/>
          <w:color w:val="1F2937"/>
          <w:sz w:val="20"/>
          <w:lang w:val="zh-CN" w:eastAsia="zh-CN"/>
        </w:rPr>
        <w:t>src/domain/thermalStorage.ts</w:t>
      </w:r>
      <w:r>
        <w:rPr>
          <w:rFonts w:ascii="Arial Unicode MS" w:hAnsi="Arial Unicode MS" w:eastAsia="Arial Unicode MS" w:hint="eastAsia"/>
          <w:color w:val="000000"/>
          <w:sz w:val="21"/>
          <w:lang w:val="zh-CN" w:eastAsia="zh-CN"/>
        </w:rPr>
        <w:t>：显热容量与逐时水蓄能递推。</w:t>
      </w:r>
    </w:p>
    <w:p>
      <w:pPr>
        <w:pStyle w:val="ListNumber"/>
        <w:spacing w:after="120" w:line="317" w:lineRule="auto"/>
        <w:numPr>
          <w:ilvl w:val="0"/>
          <w:numId w:val="11"/>
        </w:numPr>
      </w:pPr>
      <w:r>
        <w:rPr>
          <w:rFonts w:ascii="Arial Unicode MS" w:hAnsi="Arial Unicode MS" w:eastAsia="Arial Unicode MS" w:hint="eastAsia"/>
          <w:color w:val="1F2937"/>
          <w:sz w:val="20"/>
          <w:lang w:val="zh-CN" w:eastAsia="zh-CN"/>
        </w:rPr>
        <w:t>src/mock/energyMock.ts</w:t>
      </w:r>
      <w:r>
        <w:rPr>
          <w:rFonts w:ascii="Arial Unicode MS" w:hAnsi="Arial Unicode MS" w:eastAsia="Arial Unicode MS" w:hint="eastAsia"/>
          <w:color w:val="000000"/>
          <w:sz w:val="21"/>
          <w:lang w:val="zh-CN" w:eastAsia="zh-CN"/>
        </w:rPr>
        <w:t>：制冷供热场景、两套平衡、充放能和经济指标。</w:t>
      </w:r>
    </w:p>
    <w:p>
      <w:pPr>
        <w:pStyle w:val="ListNumber"/>
        <w:spacing w:after="120" w:line="317" w:lineRule="auto"/>
        <w:numPr>
          <w:ilvl w:val="0"/>
          <w:numId w:val="11"/>
        </w:numPr>
      </w:pPr>
      <w:r>
        <w:rPr>
          <w:rFonts w:ascii="Arial Unicode MS" w:hAnsi="Arial Unicode MS" w:eastAsia="Arial Unicode MS" w:hint="eastAsia"/>
          <w:color w:val="1F2937"/>
          <w:sz w:val="20"/>
          <w:lang w:val="zh-CN" w:eastAsia="zh-CN"/>
        </w:rPr>
        <w:t>src/types/energy.ts</w:t>
      </w:r>
      <w:r>
        <w:rPr>
          <w:rFonts w:ascii="Arial Unicode MS" w:hAnsi="Arial Unicode MS" w:eastAsia="Arial Unicode MS" w:hint="eastAsia"/>
          <w:color w:val="000000"/>
          <w:sz w:val="21"/>
          <w:lang w:val="zh-CN" w:eastAsia="zh-CN"/>
        </w:rPr>
        <w:t>：电侧与热侧字段和单位。</w:t>
      </w:r>
    </w:p>
    <w:p>
      <w:pPr>
        <w:pStyle w:val="ListNumber"/>
        <w:spacing w:after="120" w:line="317" w:lineRule="auto"/>
        <w:numPr>
          <w:ilvl w:val="0"/>
          <w:numId w:val="11"/>
        </w:numPr>
      </w:pPr>
      <w:r>
        <w:rPr>
          <w:rFonts w:ascii="Arial Unicode MS" w:hAnsi="Arial Unicode MS" w:eastAsia="Arial Unicode MS" w:hint="eastAsia"/>
          <w:color w:val="1F2937"/>
          <w:sz w:val="20"/>
          <w:lang w:val="zh-CN" w:eastAsia="zh-CN"/>
        </w:rPr>
        <w:t>src/store/dashboard.ts</w:t>
      </w:r>
      <w:r>
        <w:rPr>
          <w:rFonts w:ascii="Arial Unicode MS" w:hAnsi="Arial Unicode MS" w:eastAsia="Arial Unicode MS" w:hint="eastAsia"/>
          <w:color w:val="000000"/>
          <w:sz w:val="21"/>
          <w:lang w:val="zh-CN" w:eastAsia="zh-CN"/>
        </w:rPr>
        <w:t>：场景、季节、回放、详情、告警和最新请求保护。</w:t>
      </w:r>
    </w:p>
    <w:p>
      <w:pPr>
        <w:pStyle w:val="ListNumber"/>
        <w:spacing w:after="120" w:line="317" w:lineRule="auto"/>
        <w:numPr>
          <w:ilvl w:val="0"/>
          <w:numId w:val="11"/>
        </w:numPr>
      </w:pPr>
      <w:r>
        <w:rPr>
          <w:rFonts w:ascii="Arial Unicode MS" w:hAnsi="Arial Unicode MS" w:eastAsia="Arial Unicode MS" w:hint="eastAsia"/>
          <w:color w:val="1F2937"/>
          <w:sz w:val="20"/>
          <w:lang w:val="zh-CN" w:eastAsia="zh-CN"/>
        </w:rPr>
        <w:t>src/components/panels/ThermalStoragePanel.vue</w:t>
      </w:r>
      <w:r>
        <w:rPr>
          <w:rFonts w:ascii="Arial Unicode MS" w:hAnsi="Arial Unicode MS" w:eastAsia="Arial Unicode MS" w:hint="eastAsia"/>
          <w:color w:val="000000"/>
          <w:sz w:val="21"/>
          <w:lang w:val="zh-CN" w:eastAsia="zh-CN"/>
        </w:rPr>
        <w:t>：水蓄冷或蓄热面板。</w:t>
      </w:r>
    </w:p>
    <w:p>
      <w:pPr>
        <w:pStyle w:val="ListNumber"/>
        <w:spacing w:after="120" w:line="317" w:lineRule="auto"/>
        <w:numPr>
          <w:ilvl w:val="0"/>
          <w:numId w:val="11"/>
        </w:numPr>
      </w:pPr>
      <w:r>
        <w:rPr>
          <w:rFonts w:ascii="Arial Unicode MS" w:hAnsi="Arial Unicode MS" w:eastAsia="Arial Unicode MS" w:hint="eastAsia"/>
          <w:color w:val="1F2937"/>
          <w:sz w:val="20"/>
          <w:lang w:val="zh-CN" w:eastAsia="zh-CN"/>
        </w:rPr>
        <w:t>src/components/charts/ThermalLoadChart.vue</w:t>
      </w:r>
      <w:r>
        <w:rPr>
          <w:rFonts w:ascii="Arial Unicode MS" w:hAnsi="Arial Unicode MS" w:eastAsia="Arial Unicode MS" w:hint="eastAsia"/>
          <w:color w:val="000000"/>
          <w:sz w:val="21"/>
          <w:lang w:val="zh-CN" w:eastAsia="zh-CN"/>
        </w:rPr>
        <w:t xml:space="preserve"> 与 </w:t>
      </w:r>
      <w:r>
        <w:rPr>
          <w:rFonts w:ascii="Arial Unicode MS" w:hAnsi="Arial Unicode MS" w:eastAsia="Arial Unicode MS" w:hint="eastAsia"/>
          <w:color w:val="1F2937"/>
          <w:sz w:val="20"/>
          <w:lang w:val="zh-CN" w:eastAsia="zh-CN"/>
        </w:rPr>
        <w:t>ThermalStorageChart.vue</w:t>
      </w:r>
      <w:r>
        <w:rPr>
          <w:rFonts w:ascii="Arial Unicode MS" w:hAnsi="Arial Unicode MS" w:eastAsia="Arial Unicode MS" w:hint="eastAsia"/>
          <w:color w:val="000000"/>
          <w:sz w:val="21"/>
          <w:lang w:val="zh-CN" w:eastAsia="zh-CN"/>
        </w:rPr>
        <w:t>：热负荷与水蓄能趋势。</w:t>
      </w:r>
    </w:p>
    <w:p>
      <w:pPr>
        <w:pStyle w:val="ListNumber"/>
        <w:spacing w:after="120" w:line="317" w:lineRule="auto"/>
        <w:numPr>
          <w:ilvl w:val="0"/>
          <w:numId w:val="11"/>
        </w:numPr>
      </w:pPr>
      <w:r>
        <w:rPr>
          <w:rFonts w:ascii="Arial Unicode MS" w:hAnsi="Arial Unicode MS" w:eastAsia="Arial Unicode MS" w:hint="eastAsia"/>
          <w:color w:val="1F2937"/>
          <w:sz w:val="20"/>
          <w:lang w:val="zh-CN" w:eastAsia="zh-CN"/>
        </w:rPr>
        <w:t>src/three/createEnergyScene.ts</w:t>
      </w:r>
      <w:r>
        <w:rPr>
          <w:rFonts w:ascii="Arial Unicode MS" w:hAnsi="Arial Unicode MS" w:eastAsia="Arial Unicode MS" w:hint="eastAsia"/>
          <w:color w:val="000000"/>
          <w:sz w:val="21"/>
          <w:lang w:val="zh-CN" w:eastAsia="zh-CN"/>
        </w:rPr>
        <w:t>：分层水罐、季节颜色和热量流。</w:t>
      </w:r>
    </w:p>
    <w:p>
      <w:pPr>
        <w:pStyle w:val="ListNumber"/>
        <w:spacing w:after="120" w:line="317" w:lineRule="auto"/>
        <w:numPr>
          <w:ilvl w:val="0"/>
          <w:numId w:val="11"/>
        </w:numPr>
      </w:pPr>
      <w:r>
        <w:rPr>
          <w:rFonts w:ascii="Arial Unicode MS" w:hAnsi="Arial Unicode MS" w:eastAsia="Arial Unicode MS" w:hint="eastAsia"/>
          <w:color w:val="1F2937"/>
          <w:sz w:val="20"/>
          <w:lang w:val="zh-CN" w:eastAsia="zh-CN"/>
        </w:rPr>
        <w:t>src/domain/thermalStorage.test.ts</w:t>
      </w:r>
      <w:r>
        <w:rPr>
          <w:rFonts w:ascii="Arial Unicode MS" w:hAnsi="Arial Unicode MS" w:eastAsia="Arial Unicode MS" w:hint="eastAsia"/>
          <w:color w:val="000000"/>
          <w:sz w:val="21"/>
          <w:lang w:val="zh-CN" w:eastAsia="zh-CN"/>
        </w:rPr>
        <w:t>、</w:t>
      </w:r>
      <w:r>
        <w:rPr>
          <w:rFonts w:ascii="Arial Unicode MS" w:hAnsi="Arial Unicode MS" w:eastAsia="Arial Unicode MS" w:hint="eastAsia"/>
          <w:color w:val="1F2937"/>
          <w:sz w:val="20"/>
          <w:lang w:val="zh-CN" w:eastAsia="zh-CN"/>
        </w:rPr>
        <w:t>src/mock/energyMock.test.ts</w:t>
      </w:r>
      <w:r>
        <w:rPr>
          <w:rFonts w:ascii="Arial Unicode MS" w:hAnsi="Arial Unicode MS" w:eastAsia="Arial Unicode MS" w:hint="eastAsia"/>
          <w:color w:val="000000"/>
          <w:sz w:val="21"/>
          <w:lang w:val="zh-CN" w:eastAsia="zh-CN"/>
        </w:rPr>
        <w:t xml:space="preserve"> 与 </w:t>
      </w:r>
      <w:r>
        <w:rPr>
          <w:rFonts w:ascii="Arial Unicode MS" w:hAnsi="Arial Unicode MS" w:eastAsia="Arial Unicode MS" w:hint="eastAsia"/>
          <w:color w:val="1F2937"/>
          <w:sz w:val="20"/>
          <w:lang w:val="zh-CN" w:eastAsia="zh-CN"/>
        </w:rPr>
        <w:t>src/store/dashboard.test.ts</w:t>
      </w:r>
      <w:r>
        <w:rPr>
          <w:rFonts w:ascii="Arial Unicode MS" w:hAnsi="Arial Unicode MS" w:eastAsia="Arial Unicode MS" w:hint="eastAsia"/>
          <w:color w:val="000000"/>
          <w:sz w:val="21"/>
          <w:lang w:val="zh-CN" w:eastAsia="zh-CN"/>
        </w:rPr>
        <w:t>：领域、数据与状态验证。</w:t>
      </w:r>
    </w:p>
    <w:p>
      <w:pPr>
        <w:pStyle w:val="ListNumber"/>
        <w:spacing w:after="120" w:line="317" w:lineRule="auto"/>
        <w:numPr>
          <w:ilvl w:val="0"/>
          <w:numId w:val="11"/>
        </w:numPr>
      </w:pPr>
      <w:r>
        <w:rPr>
          <w:rFonts w:ascii="Arial Unicode MS" w:hAnsi="Arial Unicode MS" w:eastAsia="Arial Unicode MS" w:hint="eastAsia"/>
          <w:color w:val="1F2937"/>
          <w:sz w:val="20"/>
          <w:lang w:val="zh-CN" w:eastAsia="zh-CN"/>
        </w:rPr>
        <w:t>README.md</w:t>
      </w:r>
      <w:r>
        <w:rPr>
          <w:rFonts w:ascii="Arial Unicode MS" w:hAnsi="Arial Unicode MS" w:eastAsia="Arial Unicode MS" w:hint="eastAsia"/>
          <w:color w:val="000000"/>
          <w:sz w:val="21"/>
          <w:lang w:val="zh-CN" w:eastAsia="zh-CN"/>
        </w:rPr>
        <w:t>：项目概览、运行方式与边界。</w:t>
      </w:r>
    </w:p>
    <w:p>
      <w:pPr>
        <w:pStyle w:val="Heading2"/>
      </w:pPr>
      <w:r>
        <w:rPr>
          <w:rFonts w:ascii="Arial Unicode MS" w:hAnsi="Arial Unicode MS" w:eastAsia="Arial Unicode MS" w:hint="eastAsia"/>
          <w:b w:val="0"/>
          <w:color w:val="000000"/>
          <w:sz w:val="26"/>
          <w:lang w:val="zh-CN" w:eastAsia="zh-CN"/>
        </w:rPr>
        <w:t>13 3 交付口径</w:t>
      </w:r>
    </w:p>
    <w:p>
      <w:pPr>
        <w:spacing w:after="120" w:line="317" w:lineRule="auto"/>
        <w:ind w:firstLine="420"/>
      </w:pPr>
      <w:r>
        <w:rPr>
          <w:rFonts w:ascii="Arial Unicode MS" w:hAnsi="Arial Unicode MS" w:eastAsia="Arial Unicode MS" w:hint="eastAsia"/>
          <w:color w:val="000000"/>
          <w:sz w:val="21"/>
          <w:lang w:val="zh-CN" w:eastAsia="zh-CN"/>
        </w:rPr>
        <w:t>当前系统可演示校园光伏、空调冷热负荷、水蓄冷或蓄热和电网的协同关系，并解释部分蓄能、两类充能窗口及两套能量账本。真实节能、闭环控制、工程投运和商业收益必须按试点与验收流程形成证据后再对外确认。</w:t>
      </w:r>
    </w:p>
    <w:sectPr w:rsidR="00FC693F" w:rsidRPr="0006063C" w:rsidSect="00034616">
      <w:footerReference w:type="default" r:id="rId9"/>
      <w:pgSz w:w="12240" w:h="15840"/>
      <w:pgMar w:top="1020" w:right="1134" w:bottom="964" w:left="1134" w:header="720" w:footer="403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Arial Unicode MS">
    <w:embedRegular r:id="rIdEcoChillFont" w:fontKey="{DB0C0146-5D98-4145-B106-E9730C417C9A}" w:subsetted="0"/>
    <w:embedBold r:id="rIdEcoChillFont" w:fontKey="{DB0C0146-5D98-4145-B106-E9730C417C9A}" w:subsetted="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Arial Unicode MS" w:hAnsi="Arial Unicode MS" w:eastAsia="Arial Unicode MS" w:hint="eastAsia"/>
        <w:color w:val="404040"/>
        <w:sz w:val="17"/>
        <w:lang w:val="zh-CN" w:eastAsia="zh-CN"/>
      </w:rPr>
      <w:t xml:space="preserve">EcoChill 项目文档  ·  </w:t>
    </w: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7"/>
    <w:lvlOverride w:ilvl="0">
      <w:startOverride w:val="1"/>
    </w:lvlOverride>
  </w:num>
  <w:num w:numId="11">
    <w:abstractNumId w:val="7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line="317" w:lineRule="auto" w:after="120"/>
      <w:snapToGrid w:val="0"/>
    </w:pPr>
    <w:rPr>
      <w:rFonts w:ascii="Arial Unicode MS" w:hAnsi="Arial Unicode MS" w:eastAsia="Arial Unicode MS" w:cs="Arial Unicode MS" w:hint="eastAsia"/>
      <w:b w:val="0"/>
      <w:color w:val="00000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0" w:after="200" w:line="504" w:lineRule="exact"/>
      <w:outlineLvl w:val="0"/>
      <w:snapToGrid w:val="0"/>
    </w:pPr>
    <w:rPr>
      <w:rFonts w:cstheme="majorBidi" w:ascii="Arial Unicode MS" w:hAnsi="Arial Unicode MS" w:eastAsia="Arial Unicode MS" w:cs="Arial Unicode MS" w:hint="eastAsia"/>
      <w:b w:val="0"/>
      <w:bCs/>
      <w:color w:val="000000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00" w:line="350" w:lineRule="exact"/>
      <w:outlineLvl w:val="1"/>
      <w:snapToGrid w:val="0"/>
    </w:pPr>
    <w:rPr>
      <w:rFonts w:cstheme="majorBidi" w:ascii="Arial Unicode MS" w:hAnsi="Arial Unicode MS" w:eastAsia="Arial Unicode MS" w:cs="Arial Unicode MS" w:hint="eastAsia"/>
      <w:b w:val="0"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after="320" w:line="700" w:lineRule="exact" w:before="840"/>
      <w:contextualSpacing/>
      <w:snapToGrid w:val="0"/>
      <w:jc w:val="center"/>
    </w:pPr>
    <w:rPr>
      <w:rFonts w:cstheme="majorBidi" w:ascii="Arial Unicode MS" w:hAnsi="Arial Unicode MS" w:eastAsia="Arial Unicode MS" w:cs="Arial Unicode MS" w:hint="eastAsia"/>
      <w:b/>
      <w:color w:val="000000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keepNext/>
      <w:numPr>
        <w:ilvl w:val="1"/>
      </w:numPr>
      <w:spacing w:before="0" w:after="360" w:line="336" w:lineRule="exact"/>
      <w:snapToGrid w:val="0"/>
      <w:jc w:val="center"/>
    </w:pPr>
    <w:rPr>
      <w:rFonts w:cstheme="majorBidi" w:ascii="Arial Unicode MS" w:hAnsi="Arial Unicode MS" w:eastAsia="Arial Unicode MS" w:cs="Arial Unicode MS" w:hint="eastAsia"/>
      <w:b w:val="0"/>
      <w:i w:val="0"/>
      <w:iCs/>
      <w:color w:val="000000"/>
      <w:spacing w:val="15"/>
      <w:sz w:val="28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60" w:line="288" w:lineRule="auto"/>
      <w:contextualSpacing/>
    </w:pPr>
    <w:rPr>
      <w:rFonts w:ascii="Arial Unicode MS" w:hAnsi="Arial Unicode MS" w:eastAsia="Arial Unicode MS" w:cs="Arial Unicode MS" w:hint="eastAsia"/>
      <w:b w:val="0"/>
      <w:color w:val="000000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60" w:line="288" w:lineRule="auto"/>
      <w:contextualSpacing/>
    </w:pPr>
    <w:rPr>
      <w:rFonts w:ascii="Arial Unicode MS" w:hAnsi="Arial Unicode MS" w:eastAsia="Arial Unicode MS" w:cs="Arial Unicode MS" w:hint="eastAsia"/>
      <w:b w:val="0"/>
      <w:color w:val="000000"/>
      <w:sz w:val="21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exact" w:after="180"/>
      <w:snapToGrid w:val="0"/>
    </w:pPr>
    <w:rPr>
      <w:rFonts w:ascii="Arial" w:hAnsi="Arial" w:eastAsia="Hiragino Sans GB"/>
      <w:b w:val="0"/>
      <w:bCs/>
      <w:color w:val="000000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image" Target="media/image2.png"/><Relationship Id="rId12" Type="http://schemas.openxmlformats.org/officeDocument/2006/relationships/image" Target="media/image3.png"/><Relationship Id="rId13" Type="http://schemas.openxmlformats.org/officeDocument/2006/relationships/image" Target="media/image4.png"/></Relationships>
</file>

<file path=word/_rels/fontTable.xml.rels><?xml version='1.0' encoding='UTF-8' standalone='yes'?>
<Relationships xmlns="http://schemas.openxmlformats.org/package/2006/relationships"><Relationship Id="rIdEcoChillFont" Type="http://schemas.openxmlformats.org/officeDocument/2006/relationships/font" Target="fonts/ArialUnicodeMS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EcoChill 项目文档</dc:title>
  <dc:subject>校园光伏 空调冷热负荷 水蓄冷蓄热协同调度数字孪生平台</dc:subject>
  <dc:creator>EcoChill 项目组</dc:creator>
  <cp:keywords>光伏, 空调, 水蓄冷, 水蓄热, 分层水罐, 数字孪生</cp:keywords>
  <dc:description/>
  <cp:lastModifiedBy/>
  <cp:revision>1</cp:revision>
  <dcterms:created xsi:type="dcterms:W3CDTF">2013-12-23T23:15:00Z</dcterms:created>
  <dcterms:modified xsi:type="dcterms:W3CDTF">2013-12-23T23:15:00Z</dcterms:modified>
  <cp:category/>
</cp:coreProperties>
</file>