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車輛行車管理（含車輛監控系統）資料表分類與關聯</w:t>
      </w:r>
    </w:p>
    <w:p>
      <w:pPr>
        <w:spacing w:after="120" w:line="320"/>
      </w:pPr>
      <w:r>
        <w:rPr>
          <w:rFonts w:ascii="Times New Roman" w:eastAsia="標楷體"/>
          <w:sz w:val="24"/>
          <w:szCs w:val="24"/>
        </w:rPr>
        <w:t xml:space="preserve">本系統資料表依用途分為十大類，共 33 張資料表，各分類及對應資料表如下表所示。</w:t>
      </w:r>
    </w:p>
    <w:p>
      <w:pPr>
        <w:spacing w:after="200" w:line="320"/>
      </w:pPr>
      <w:r>
        <w:rPr>
          <w:rFonts w:ascii="Times New Roman" w:eastAsia="標楷體"/>
          <w:sz w:val="22"/>
          <w:szCs w:val="22"/>
        </w:rPr>
        <w:t xml:space="preserve">The data tables of this system are classified into ten categories comprising 33 data tables according to their purpose. The categories and their corresponding data tables are shown in the following table.</w:t>
      </w:r>
    </w:p>
    <w:p>
      <w:pPr>
        <w:spacing w:after="100" w:before="160"/>
        <w:jc w:val="center"/>
      </w:pPr>
      <w:r>
        <w:rPr>
          <w:rFonts w:ascii="Times New Roman" w:eastAsia="標楷體"/>
          <w:b/>
          <w:bCs/>
          <w:sz w:val="22"/>
          <w:szCs w:val="22"/>
        </w:rPr>
        <w:t xml:space="preserve">表 車輛行車管理（含車輛監控系統）資料表分類與關聯表</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4100"/>
        <w:gridCol w:w="3100"/>
      </w:tblGrid>
      <w:tr>
        <w:tc>
          <w:tcPr>
            <w:tcW w:type="dxa" w:w="2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分類</w:t>
            </w:r>
          </w:p>
          <w:p>
            <w:pPr>
              <w:spacing w:after="40"/>
            </w:pPr>
            <w:r>
              <w:rPr>
                <w:rFonts w:ascii="Times New Roman" w:eastAsia="標楷體"/>
                <w:b/>
                <w:bCs/>
                <w:sz w:val="21"/>
                <w:szCs w:val="21"/>
              </w:rPr>
              <w:t xml:space="preserve">Category</w:t>
            </w:r>
          </w:p>
        </w:tc>
        <w:tc>
          <w:tcPr>
            <w:tcW w:type="dxa" w:w="4100"/>
            <w:shd w:fill="D9D9D9" w:val="clear"/>
            <w:tcMar>
              <w:top w:type="dxa" w:w="70"/>
              <w:left w:type="dxa" w:w="110"/>
              <w:bottom w:type="dxa" w:w="70"/>
              <w:right w:type="dxa" w:w="110"/>
            </w:tcMar>
          </w:tcPr>
          <w:p>
            <w:pPr>
              <w:spacing w:after="40"/>
            </w:pPr>
            <w:r>
              <w:rPr>
                <w:rFonts w:ascii="Times New Roman" w:eastAsia="標楷體"/>
                <w:b/>
                <w:bCs/>
                <w:sz w:val="21"/>
                <w:szCs w:val="21"/>
              </w:rPr>
              <w:t xml:space="preserve">說明</w:t>
            </w:r>
          </w:p>
          <w:p>
            <w:pPr>
              <w:spacing w:after="40"/>
            </w:pPr>
            <w:r>
              <w:rPr>
                <w:rFonts w:ascii="Times New Roman" w:eastAsia="標楷體"/>
                <w:b/>
                <w:bCs/>
                <w:sz w:val="21"/>
                <w:szCs w:val="21"/>
              </w:rPr>
              <w:t xml:space="preserve">Description</w:t>
            </w:r>
          </w:p>
        </w:tc>
        <w:tc>
          <w:tcPr>
            <w:tcW w:type="dxa" w:w="3100"/>
            <w:shd w:fill="D9D9D9" w:val="clear"/>
            <w:tcMar>
              <w:top w:type="dxa" w:w="70"/>
              <w:left w:type="dxa" w:w="110"/>
              <w:bottom w:type="dxa" w:w="70"/>
              <w:right w:type="dxa" w:w="110"/>
            </w:tcMar>
          </w:tcPr>
          <w:p>
            <w:pPr>
              <w:spacing w:after="40"/>
            </w:pPr>
            <w:r>
              <w:rPr>
                <w:rFonts w:ascii="Times New Roman" w:eastAsia="標楷體"/>
                <w:b/>
                <w:bCs/>
                <w:sz w:val="21"/>
                <w:szCs w:val="21"/>
              </w:rPr>
              <w:t xml:space="preserve">對應資料表</w:t>
            </w:r>
          </w:p>
          <w:p>
            <w:pPr>
              <w:spacing w:after="40"/>
            </w:pPr>
            <w:r>
              <w:rPr>
                <w:rFonts w:ascii="Times New Roman" w:eastAsia="標楷體"/>
                <w:b/>
                <w:bCs/>
                <w:sz w:val="21"/>
                <w:szCs w:val="21"/>
              </w:rPr>
              <w:t xml:space="preserve">Data Tables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主檔</w:t>
            </w:r>
          </w:p>
          <w:p>
            <w:pPr>
              <w:spacing w:after="40"/>
            </w:pPr>
            <w:r>
              <w:rPr>
                <w:rFonts w:ascii="Times New Roman" w:eastAsia="標楷體"/>
                <w:b/>
                <w:bCs/>
                <w:sz w:val="21"/>
                <w:szCs w:val="21"/>
              </w:rPr>
              <w:t xml:space="preserve">Master Data</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車輛、路線、站點動作及設施格位之基本資料與設定</w:t>
            </w:r>
          </w:p>
          <w:p>
            <w:pPr>
              <w:spacing w:after="40"/>
            </w:pPr>
            <w:r>
              <w:rPr>
                <w:rFonts w:ascii="Times New Roman" w:eastAsia="標楷體"/>
                <w:b w:val="false"/>
                <w:bCs w:val="false"/>
                <w:sz w:val="21"/>
                <w:szCs w:val="21"/>
              </w:rPr>
              <w:t xml:space="preserve">Master data and configuration of vehicles, routes, station actions and facility slots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vehicles、operation_routes、operation_route_stations、operation_route_station_actions、facility_slots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營運排程</w:t>
            </w:r>
          </w:p>
          <w:p>
            <w:pPr>
              <w:spacing w:after="40"/>
            </w:pPr>
            <w:r>
              <w:rPr>
                <w:rFonts w:ascii="Times New Roman" w:eastAsia="標楷體"/>
                <w:b/>
                <w:bCs/>
                <w:sz w:val="21"/>
                <w:szCs w:val="21"/>
              </w:rPr>
              <w:t xml:space="preserve">Operation Scheduling</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時間模板、整備任務設定及營運班表（含班次、整備時段與調度移動）</w:t>
            </w:r>
          </w:p>
          <w:p>
            <w:pPr>
              <w:spacing w:after="40"/>
            </w:pPr>
            <w:r>
              <w:rPr>
                <w:rFonts w:ascii="Times New Roman" w:eastAsia="標楷體"/>
                <w:b w:val="false"/>
                <w:bCs w:val="false"/>
                <w:sz w:val="21"/>
                <w:szCs w:val="21"/>
              </w:rPr>
              <w:t xml:space="preserve">Time templates, maintenance task configuration and operational schedules (including trips, maintenance slots and dispatch movements)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time_templates、maintenance_tasks、operation_shifts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服務與訂單</w:t>
            </w:r>
          </w:p>
          <w:p>
            <w:pPr>
              <w:spacing w:after="40"/>
            </w:pPr>
            <w:r>
              <w:rPr>
                <w:rFonts w:ascii="Times New Roman" w:eastAsia="標楷體"/>
                <w:b/>
                <w:bCs/>
                <w:sz w:val="21"/>
                <w:szCs w:val="21"/>
              </w:rPr>
              <w:t xml:space="preserve">Service and Order</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服務訂單、站點動作狀態及訂單事件紀錄</w:t>
            </w:r>
          </w:p>
          <w:p>
            <w:pPr>
              <w:spacing w:after="40"/>
            </w:pPr>
            <w:r>
              <w:rPr>
                <w:rFonts w:ascii="Times New Roman" w:eastAsia="標楷體"/>
                <w:b w:val="false"/>
                <w:bCs w:val="false"/>
                <w:sz w:val="21"/>
                <w:szCs w:val="21"/>
              </w:rPr>
              <w:t xml:space="preserve">Service orders, station action states and order event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operation_orders、order_action_states、order_events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場域圖資</w:t>
            </w:r>
          </w:p>
          <w:p>
            <w:pPr>
              <w:spacing w:after="40"/>
            </w:pPr>
            <w:r>
              <w:rPr>
                <w:rFonts w:ascii="Times New Roman" w:eastAsia="標楷體"/>
                <w:b/>
                <w:bCs/>
                <w:sz w:val="21"/>
                <w:szCs w:val="21"/>
              </w:rPr>
              <w:t xml:space="preserve">Field Map Data</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場域地圖主檔與逐版圖資內容（節點、有向邊與行駛時間、站點、設施、區域）；草稿與已發布版本均集中保存，對所有帳號一致</w:t>
            </w:r>
          </w:p>
          <w:p>
            <w:pPr>
              <w:spacing w:after="40"/>
            </w:pPr>
            <w:r>
              <w:rPr>
                <w:rFonts w:ascii="Times New Roman" w:eastAsia="標楷體"/>
                <w:b w:val="false"/>
                <w:bCs w:val="false"/>
                <w:sz w:val="21"/>
                <w:szCs w:val="21"/>
              </w:rPr>
              <w:t xml:space="preserve">Field map master data and versioned map content (nodes, directed edges with travel times, stations, facilities and areas); both drafts and published versions are stored centrally and are consistent for all accounts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maps、map_versions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場域與設備狀態</w:t>
            </w:r>
          </w:p>
          <w:p>
            <w:pPr>
              <w:spacing w:after="40"/>
            </w:pPr>
            <w:r>
              <w:rPr>
                <w:rFonts w:ascii="Times New Roman" w:eastAsia="標楷體"/>
                <w:b/>
                <w:bCs/>
                <w:sz w:val="21"/>
                <w:szCs w:val="21"/>
              </w:rPr>
              <w:t xml:space="preserve">Field and Equipment Status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路側設備健康狀態、設施格位即時狀態及路口閉鎖生命週期紀錄</w:t>
            </w:r>
          </w:p>
          <w:p>
            <w:pPr>
              <w:spacing w:after="40"/>
            </w:pPr>
            <w:r>
              <w:rPr>
                <w:rFonts w:ascii="Times New Roman" w:eastAsia="標楷體"/>
                <w:b w:val="false"/>
                <w:bCs w:val="false"/>
                <w:sz w:val="21"/>
                <w:szCs w:val="21"/>
              </w:rPr>
              <w:t xml:space="preserve">Health status of roadside equipment, real-time status of facility slots, and junction interlock lifecycle records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field_equipment_status、slot_statuses、junction_interlock_logs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車輛遙測與控制指令</w:t>
            </w:r>
          </w:p>
          <w:p>
            <w:pPr>
              <w:spacing w:after="40"/>
            </w:pPr>
            <w:r>
              <w:rPr>
                <w:rFonts w:ascii="Times New Roman" w:eastAsia="標楷體"/>
                <w:b/>
                <w:bCs/>
                <w:sz w:val="21"/>
                <w:szCs w:val="21"/>
              </w:rPr>
              <w:t xml:space="preserve">Vehicle Telemetry and Control Command</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車端回傳之原始遙測資料、控制指令下達與回覆紀錄及速限設定</w:t>
            </w:r>
          </w:p>
          <w:p>
            <w:pPr>
              <w:spacing w:after="40"/>
            </w:pPr>
            <w:r>
              <w:rPr>
                <w:rFonts w:ascii="Times New Roman" w:eastAsia="標楷體"/>
                <w:b w:val="false"/>
                <w:bCs w:val="false"/>
                <w:sz w:val="21"/>
                <w:szCs w:val="21"/>
              </w:rPr>
              <w:t xml:space="preserve">Raw telemetry data reported by vehicles, control command issuance and response records, and speed limit configuration</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telemetry_logs、command_logs、speed_limit_configs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介面資源</w:t>
            </w:r>
          </w:p>
          <w:p>
            <w:pPr>
              <w:spacing w:after="40"/>
            </w:pPr>
            <w:r>
              <w:rPr>
                <w:rFonts w:ascii="Times New Roman" w:eastAsia="標楷體"/>
                <w:b/>
                <w:bCs/>
                <w:sz w:val="21"/>
                <w:szCs w:val="21"/>
              </w:rPr>
              <w:t xml:space="preserve">Interface Resources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營運全景圖台版面（畫布元件樹與適配模式）、車上廣播媒體內容與分組，及其播放排程</w:t>
            </w:r>
          </w:p>
          <w:p>
            <w:pPr>
              <w:spacing w:after="40"/>
            </w:pPr>
            <w:r>
              <w:rPr>
                <w:rFonts w:ascii="Times New Roman" w:eastAsia="標楷體"/>
                <w:b w:val="false"/>
                <w:bCs w:val="false"/>
                <w:sz w:val="21"/>
                <w:szCs w:val="21"/>
              </w:rPr>
              <w:t xml:space="preserve">Operation panorama dashboard layouts (canvas element tree and viewport mode), on-board broadcast media content and groups, and their playback schedules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dashboard_planes、media_library_items、media_schedules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帳號與權限</w:t>
            </w:r>
          </w:p>
          <w:p>
            <w:pPr>
              <w:spacing w:after="40"/>
            </w:pPr>
            <w:r>
              <w:rPr>
                <w:rFonts w:ascii="Times New Roman" w:eastAsia="標楷體"/>
                <w:b/>
                <w:bCs/>
                <w:sz w:val="21"/>
                <w:szCs w:val="21"/>
              </w:rPr>
              <w:t xml:space="preserve">Account and Permission</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操作人員帳號、角色、功能權限項目及其綁定關係</w:t>
            </w:r>
          </w:p>
          <w:p>
            <w:pPr>
              <w:spacing w:after="40"/>
            </w:pPr>
            <w:r>
              <w:rPr>
                <w:rFonts w:ascii="Times New Roman" w:eastAsia="標楷體"/>
                <w:b w:val="false"/>
                <w:bCs w:val="false"/>
                <w:sz w:val="21"/>
                <w:szCs w:val="21"/>
              </w:rPr>
              <w:t xml:space="preserve">Operator accounts, roles, function permission items and their binding relationships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accounts、roles、permissions、role_permissions、account_roles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稽核日誌</w:t>
            </w:r>
          </w:p>
          <w:p>
            <w:pPr>
              <w:spacing w:after="40"/>
            </w:pPr>
            <w:r>
              <w:rPr>
                <w:rFonts w:ascii="Times New Roman" w:eastAsia="標楷體"/>
                <w:b/>
                <w:bCs/>
                <w:sz w:val="21"/>
                <w:szCs w:val="21"/>
              </w:rPr>
              <w:t xml:space="preserve">Audit Logs</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營運操作、登入登出、權限異動及資安事件之稽核紀錄</w:t>
            </w:r>
          </w:p>
          <w:p>
            <w:pPr>
              <w:spacing w:after="40"/>
            </w:pPr>
            <w:r>
              <w:rPr>
                <w:rFonts w:ascii="Times New Roman" w:eastAsia="標楷體"/>
                <w:b w:val="false"/>
                <w:bCs w:val="false"/>
                <w:sz w:val="21"/>
                <w:szCs w:val="21"/>
              </w:rPr>
              <w:t xml:space="preserve">Audit records of operational activities, login/logout events, permission changes and information security events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operator_action_logs、login_logs、permission_change_logs、security_event_logs</w:t>
            </w:r>
          </w:p>
        </w:tc>
      </w:tr>
      <w:tr>
        <w:tc>
          <w:tcPr>
            <w:tcW w:type="dxa" w:w="2100"/>
            <w:tcMar>
              <w:top w:type="dxa" w:w="70"/>
              <w:left w:type="dxa" w:w="110"/>
              <w:bottom w:type="dxa" w:w="70"/>
              <w:right w:type="dxa" w:w="110"/>
            </w:tcMar>
          </w:tcPr>
          <w:p>
            <w:pPr>
              <w:spacing w:after="40"/>
            </w:pPr>
            <w:r>
              <w:rPr>
                <w:rFonts w:ascii="Times New Roman" w:eastAsia="標楷體"/>
                <w:b/>
                <w:bCs/>
                <w:sz w:val="21"/>
                <w:szCs w:val="21"/>
              </w:rPr>
              <w:t xml:space="preserve">系統基礎</w:t>
            </w:r>
          </w:p>
          <w:p>
            <w:pPr>
              <w:spacing w:after="40"/>
            </w:pPr>
            <w:r>
              <w:rPr>
                <w:rFonts w:ascii="Times New Roman" w:eastAsia="標楷體"/>
                <w:b/>
                <w:bCs/>
                <w:sz w:val="21"/>
                <w:szCs w:val="21"/>
              </w:rPr>
              <w:t xml:space="preserve">System Base</w:t>
            </w:r>
          </w:p>
        </w:tc>
        <w:tc>
          <w:tcPr>
            <w:tcW w:type="dxa" w:w="4100"/>
            <w:tcMar>
              <w:top w:type="dxa" w:w="70"/>
              <w:left w:type="dxa" w:w="110"/>
              <w:bottom w:type="dxa" w:w="70"/>
              <w:right w:type="dxa" w:w="110"/>
            </w:tcMar>
          </w:tcPr>
          <w:p>
            <w:pPr>
              <w:spacing w:after="40"/>
            </w:pPr>
            <w:r>
              <w:rPr>
                <w:rFonts w:ascii="Times New Roman" w:eastAsia="標楷體"/>
                <w:b w:val="false"/>
                <w:bCs w:val="false"/>
                <w:sz w:val="21"/>
                <w:szCs w:val="21"/>
              </w:rPr>
              <w:t xml:space="preserve">系統參數設定及全域通知訊息</w:t>
            </w:r>
          </w:p>
          <w:p>
            <w:pPr>
              <w:spacing w:after="40"/>
            </w:pPr>
            <w:r>
              <w:rPr>
                <w:rFonts w:ascii="Times New Roman" w:eastAsia="標楷體"/>
                <w:b w:val="false"/>
                <w:bCs w:val="false"/>
                <w:sz w:val="21"/>
                <w:szCs w:val="21"/>
              </w:rPr>
              <w:t xml:space="preserve">System parameter settings and global notification messages</w:t>
            </w:r>
          </w:p>
        </w:tc>
        <w:tc>
          <w:tcPr>
            <w:tcW w:type="dxa" w:w="3100"/>
            <w:tcMar>
              <w:top w:type="dxa" w:w="70"/>
              <w:left w:type="dxa" w:w="110"/>
              <w:bottom w:type="dxa" w:w="70"/>
              <w:right w:type="dxa" w:w="110"/>
            </w:tcMar>
          </w:tcPr>
          <w:p>
            <w:pPr>
              <w:spacing w:after="40"/>
            </w:pPr>
            <w:r>
              <w:rPr>
                <w:rFonts w:ascii="Times New Roman" w:eastAsia="標楷體"/>
                <w:b w:val="false"/>
                <w:bCs w:val="false"/>
                <w:sz w:val="21"/>
                <w:szCs w:val="21"/>
              </w:rPr>
              <w:t xml:space="preserve">system_settings、notifications</w:t>
            </w:r>
          </w:p>
        </w:tc>
      </w:tr>
    </w:tbl>
    <w:p>
      <w:pPr>
        <w:spacing w:after="80"/>
      </w:pPr>
      <w:r>
        <w:rPr>
          <w:rFonts w:ascii="Times New Roman" w:eastAsia="標楷體"/>
          <w:sz w:val="20"/>
          <w:szCs w:val="20"/>
        </w:rPr>
        <w:t xml:space="preserve">註1：各資料表之欄位定義詳第02584K章附錄4，本計畫書不重複列載。</w:t>
      </w:r>
    </w:p>
    <w:p>
      <w:pPr>
        <w:spacing w:after="80"/>
      </w:pPr>
      <w:r>
        <w:rPr>
          <w:rFonts w:ascii="Times New Roman" w:eastAsia="標楷體"/>
          <w:sz w:val="20"/>
          <w:szCs w:val="20"/>
        </w:rPr>
        <w:t xml:space="preserve">註2：場域圖資之草稿與已發布版本均保存於 maps 與 map_versions；圖資為全系統共用資產，任一帳號所見內容一致。</w:t>
      </w:r>
    </w:p>
    <w:p>
      <w:pPr>
        <w:spacing w:after="80"/>
      </w:pPr>
      <w:r>
        <w:rPr>
          <w:rFonts w:ascii="Times New Roman" w:eastAsia="標楷體"/>
          <w:sz w:val="20"/>
          <w:szCs w:val="20"/>
        </w:rPr>
        <w:t xml:space="preserve">註3：系統另有展示用示範資料表，非營運資料，未列入本表。</w:t>
      </w:r>
    </w:p>
    <w:p>
      <w:pPr>
        <w:spacing w:after="80"/>
      </w:pPr>
      <w:r>
        <w:rPr>
          <w:rFonts w:ascii="Times New Roman" w:eastAsia="標楷體"/>
          <w:sz w:val="20"/>
          <w:szCs w:val="20"/>
        </w:rPr>
        <w:t xml:space="preserve">註4：資料表設計後續依實際營運狀況調整。</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2026-08-22T19:09:17.454Z</dcterms:created>
  <dcterms:modified xsi:type="dcterms:W3CDTF">2026-08-22T19:09:17.454Z</dcterms:modified>
</cp:coreProperties>
</file>

<file path=docProps/custom.xml><?xml version="1.0" encoding="utf-8"?>
<Properties xmlns="http://schemas.openxmlformats.org/officeDocument/2006/custom-properties" xmlns:vt="http://schemas.openxmlformats.org/officeDocument/2006/docPropsVTypes"/>
</file>