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3"/>
        <w:spacing w:after="160" w:before="240"/>
      </w:pPr>
      <w:r>
        <w:rPr>
          <w:rFonts w:ascii="Times New Roman" w:eastAsia="標楷體"/>
          <w:b/>
          <w:bCs/>
          <w:sz w:val="28"/>
          <w:szCs w:val="28"/>
        </w:rPr>
        <w:t xml:space="preserve">車輛行車管理（含車輛監控系統）資料表分類與關聯</w:t>
      </w:r>
    </w:p>
    <w:p>
      <w:pPr>
        <w:spacing w:after="120" w:line="320"/>
      </w:pPr>
      <w:r>
        <w:rPr>
          <w:rFonts w:ascii="Times New Roman" w:eastAsia="標楷體"/>
          <w:sz w:val="24"/>
          <w:szCs w:val="24"/>
        </w:rPr>
        <w:t xml:space="preserve">本系統資料表依用途分為七大類，各分類及對應資料表如下表所示。</w:t>
      </w:r>
    </w:p>
    <w:p>
      <w:pPr>
        <w:spacing w:after="200" w:line="320"/>
      </w:pPr>
      <w:r>
        <w:rPr>
          <w:rFonts w:ascii="Times New Roman" w:eastAsia="標楷體"/>
          <w:sz w:val="22"/>
          <w:szCs w:val="22"/>
        </w:rPr>
        <w:t xml:space="preserve">The data tables of this system are classified into seven categories according to their purpose. The categories and their corresponding data tables are shown in the following table.</w:t>
      </w:r>
    </w:p>
    <w:p>
      <w:pPr>
        <w:spacing w:after="100" w:before="160"/>
        <w:jc w:val="center"/>
      </w:pPr>
      <w:r>
        <w:rPr>
          <w:rFonts w:ascii="Times New Roman" w:eastAsia="標楷體"/>
          <w:b/>
          <w:bCs/>
          <w:sz w:val="22"/>
          <w:szCs w:val="22"/>
        </w:rPr>
        <w:t xml:space="preserve">表 車輛行車管理（含車輛監控系統）資料表分類與關聯表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100"/>
        <w:gridCol w:w="3100"/>
      </w:tblGrid>
      <w:tr>
        <w:tc>
          <w:tcPr>
            <w:tcW w:type="dxa" w:w="2100"/>
            <w:shd w:fill="D9D9D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eastAsia="標楷體"/>
                <w:b/>
                <w:bCs/>
                <w:sz w:val="21"/>
                <w:szCs w:val="21"/>
              </w:rPr>
              <w:t xml:space="preserve">分類</w:t>
            </w:r>
          </w:p>
          <w:p>
            <w:pPr>
              <w:spacing w:after="40"/>
            </w:pPr>
            <w:r>
              <w:rPr>
                <w:rFonts w:ascii="Times New Roman" w:eastAsia="標楷體"/>
                <w:b/>
                <w:bCs/>
                <w:sz w:val="21"/>
                <w:szCs w:val="21"/>
              </w:rPr>
              <w:t xml:space="preserve">Category</w:t>
            </w:r>
          </w:p>
        </w:tc>
        <w:tc>
          <w:tcPr>
            <w:tcW w:type="dxa" w:w="4100"/>
            <w:shd w:fill="D9D9D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eastAsia="標楷體"/>
                <w:b/>
                <w:bCs/>
                <w:sz w:val="21"/>
                <w:szCs w:val="21"/>
              </w:rPr>
              <w:t xml:space="preserve">說明</w:t>
            </w:r>
          </w:p>
          <w:p>
            <w:pPr>
              <w:spacing w:after="40"/>
            </w:pPr>
            <w:r>
              <w:rPr>
                <w:rFonts w:ascii="Times New Roman" w:eastAsia="標楷體"/>
                <w:b/>
                <w:bCs/>
                <w:sz w:val="21"/>
                <w:szCs w:val="21"/>
              </w:rPr>
              <w:t xml:space="preserve">Description</w:t>
            </w:r>
          </w:p>
        </w:tc>
        <w:tc>
          <w:tcPr>
            <w:tcW w:type="dxa" w:w="3100"/>
            <w:shd w:fill="D9D9D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eastAsia="標楷體"/>
                <w:b/>
                <w:bCs/>
                <w:sz w:val="21"/>
                <w:szCs w:val="21"/>
              </w:rPr>
              <w:t xml:space="preserve">對應資料表</w:t>
            </w:r>
          </w:p>
          <w:p>
            <w:pPr>
              <w:spacing w:after="40"/>
            </w:pPr>
            <w:r>
              <w:rPr>
                <w:rFonts w:ascii="Times New Roman" w:eastAsia="標楷體"/>
                <w:b/>
                <w:bCs/>
                <w:sz w:val="21"/>
                <w:szCs w:val="21"/>
              </w:rPr>
              <w:t xml:space="preserve">Data Tables</w:t>
            </w:r>
          </w:p>
        </w:tc>
      </w:tr>
      <w:tr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eastAsia="標楷體"/>
                <w:b/>
                <w:bCs/>
                <w:sz w:val="21"/>
                <w:szCs w:val="21"/>
              </w:rPr>
              <w:t xml:space="preserve">主檔</w:t>
            </w:r>
          </w:p>
          <w:p>
            <w:pPr>
              <w:spacing w:after="40"/>
            </w:pPr>
            <w:r>
              <w:rPr>
                <w:rFonts w:ascii="Times New Roman" w:eastAsia="標楷體"/>
                <w:b/>
                <w:bCs/>
                <w:sz w:val="21"/>
                <w:szCs w:val="21"/>
              </w:rPr>
              <w:t xml:space="preserve">Master Data</w:t>
            </w:r>
          </w:p>
        </w:tc>
        <w:tc>
          <w:tcPr>
            <w:tcW w:type="dxa" w:w="4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eastAsia="標楷體"/>
                <w:b w:val="false"/>
                <w:bCs w:val="false"/>
                <w:sz w:val="21"/>
                <w:szCs w:val="21"/>
              </w:rPr>
              <w:t xml:space="preserve">車輛、路線、站點動作及設施格位之基本資料與設定</w:t>
            </w:r>
          </w:p>
          <w:p>
            <w:pPr>
              <w:spacing w:after="40"/>
            </w:pPr>
            <w:r>
              <w:rPr>
                <w:rFonts w:ascii="Times New Roman" w:eastAsia="標楷體"/>
                <w:b w:val="false"/>
                <w:bCs w:val="false"/>
                <w:sz w:val="21"/>
                <w:szCs w:val="21"/>
              </w:rPr>
              <w:t xml:space="preserve">Master data and configuration of vehicles, routes, station actions and facility slots</w:t>
            </w:r>
          </w:p>
        </w:tc>
        <w:tc>
          <w:tcPr>
            <w:tcW w:type="dxa" w:w="3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eastAsia="標楷體"/>
                <w:b w:val="false"/>
                <w:bCs w:val="false"/>
                <w:sz w:val="21"/>
                <w:szCs w:val="21"/>
              </w:rPr>
              <w:t xml:space="preserve">vehicles、operation_routes、operation_route_stations、operation_route_station_actions、facility_slots</w:t>
            </w:r>
          </w:p>
        </w:tc>
      </w:tr>
      <w:tr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eastAsia="標楷體"/>
                <w:b/>
                <w:bCs/>
                <w:sz w:val="21"/>
                <w:szCs w:val="21"/>
              </w:rPr>
              <w:t xml:space="preserve">營運排程</w:t>
            </w:r>
          </w:p>
          <w:p>
            <w:pPr>
              <w:spacing w:after="40"/>
            </w:pPr>
            <w:r>
              <w:rPr>
                <w:rFonts w:ascii="Times New Roman" w:eastAsia="標楷體"/>
                <w:b/>
                <w:bCs/>
                <w:sz w:val="21"/>
                <w:szCs w:val="21"/>
              </w:rPr>
              <w:t xml:space="preserve">Operation Scheduling</w:t>
            </w:r>
          </w:p>
        </w:tc>
        <w:tc>
          <w:tcPr>
            <w:tcW w:type="dxa" w:w="4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eastAsia="標楷體"/>
                <w:b w:val="false"/>
                <w:bCs w:val="false"/>
                <w:sz w:val="21"/>
                <w:szCs w:val="21"/>
              </w:rPr>
              <w:t xml:space="preserve">時間模板、整備任務設定及營運班表（含班次、整備時段與調度移動）</w:t>
            </w:r>
          </w:p>
          <w:p>
            <w:pPr>
              <w:spacing w:after="40"/>
            </w:pPr>
            <w:r>
              <w:rPr>
                <w:rFonts w:ascii="Times New Roman" w:eastAsia="標楷體"/>
                <w:b w:val="false"/>
                <w:bCs w:val="false"/>
                <w:sz w:val="21"/>
                <w:szCs w:val="21"/>
              </w:rPr>
              <w:t xml:space="preserve">Time templates, maintenance task configuration and operational schedules (including trips, maintenance slots and dispatch movements)</w:t>
            </w:r>
          </w:p>
        </w:tc>
        <w:tc>
          <w:tcPr>
            <w:tcW w:type="dxa" w:w="3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eastAsia="標楷體"/>
                <w:b w:val="false"/>
                <w:bCs w:val="false"/>
                <w:sz w:val="21"/>
                <w:szCs w:val="21"/>
              </w:rPr>
              <w:t xml:space="preserve">time_templates、maintenance_tasks、operation_shifts</w:t>
            </w:r>
          </w:p>
        </w:tc>
      </w:tr>
      <w:tr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eastAsia="標楷體"/>
                <w:b/>
                <w:bCs/>
                <w:sz w:val="21"/>
                <w:szCs w:val="21"/>
              </w:rPr>
              <w:t xml:space="preserve">服務與訂單</w:t>
            </w:r>
          </w:p>
          <w:p>
            <w:pPr>
              <w:spacing w:after="40"/>
            </w:pPr>
            <w:r>
              <w:rPr>
                <w:rFonts w:ascii="Times New Roman" w:eastAsia="標楷體"/>
                <w:b/>
                <w:bCs/>
                <w:sz w:val="21"/>
                <w:szCs w:val="21"/>
              </w:rPr>
              <w:t xml:space="preserve">Service and Order</w:t>
            </w:r>
          </w:p>
        </w:tc>
        <w:tc>
          <w:tcPr>
            <w:tcW w:type="dxa" w:w="4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eastAsia="標楷體"/>
                <w:b w:val="false"/>
                <w:bCs w:val="false"/>
                <w:sz w:val="21"/>
                <w:szCs w:val="21"/>
              </w:rPr>
              <w:t xml:space="preserve">服務訂單、站點動作狀態及訂單事件紀錄</w:t>
            </w:r>
          </w:p>
          <w:p>
            <w:pPr>
              <w:spacing w:after="40"/>
            </w:pPr>
            <w:r>
              <w:rPr>
                <w:rFonts w:ascii="Times New Roman" w:eastAsia="標楷體"/>
                <w:b w:val="false"/>
                <w:bCs w:val="false"/>
                <w:sz w:val="21"/>
                <w:szCs w:val="21"/>
              </w:rPr>
              <w:t xml:space="preserve">Service orders, station action states and order event records</w:t>
            </w:r>
          </w:p>
        </w:tc>
        <w:tc>
          <w:tcPr>
            <w:tcW w:type="dxa" w:w="3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eastAsia="標楷體"/>
                <w:b w:val="false"/>
                <w:bCs w:val="false"/>
                <w:sz w:val="21"/>
                <w:szCs w:val="21"/>
              </w:rPr>
              <w:t xml:space="preserve">operation_orders、order_action_states、order_events</w:t>
            </w:r>
          </w:p>
        </w:tc>
      </w:tr>
      <w:tr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eastAsia="標楷體"/>
                <w:b/>
                <w:bCs/>
                <w:sz w:val="21"/>
                <w:szCs w:val="21"/>
              </w:rPr>
              <w:t xml:space="preserve">場域與設備狀態</w:t>
            </w:r>
          </w:p>
          <w:p>
            <w:pPr>
              <w:spacing w:after="40"/>
            </w:pPr>
            <w:r>
              <w:rPr>
                <w:rFonts w:ascii="Times New Roman" w:eastAsia="標楷體"/>
                <w:b/>
                <w:bCs/>
                <w:sz w:val="21"/>
                <w:szCs w:val="21"/>
              </w:rPr>
              <w:t xml:space="preserve">Field and Equipment Status</w:t>
            </w:r>
          </w:p>
        </w:tc>
        <w:tc>
          <w:tcPr>
            <w:tcW w:type="dxa" w:w="4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eastAsia="標楷體"/>
                <w:b w:val="false"/>
                <w:bCs w:val="false"/>
                <w:sz w:val="21"/>
                <w:szCs w:val="21"/>
              </w:rPr>
              <w:t xml:space="preserve">路側設備健康狀態、設施格位即時狀態及路口閉鎖生命週期紀錄</w:t>
            </w:r>
          </w:p>
          <w:p>
            <w:pPr>
              <w:spacing w:after="40"/>
            </w:pPr>
            <w:r>
              <w:rPr>
                <w:rFonts w:ascii="Times New Roman" w:eastAsia="標楷體"/>
                <w:b w:val="false"/>
                <w:bCs w:val="false"/>
                <w:sz w:val="21"/>
                <w:szCs w:val="21"/>
              </w:rPr>
              <w:t xml:space="preserve">Health status of roadside equipment, real-time status of facility slots, and junction interlock lifecycle records</w:t>
            </w:r>
          </w:p>
        </w:tc>
        <w:tc>
          <w:tcPr>
            <w:tcW w:type="dxa" w:w="3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eastAsia="標楷體"/>
                <w:b w:val="false"/>
                <w:bCs w:val="false"/>
                <w:sz w:val="21"/>
                <w:szCs w:val="21"/>
              </w:rPr>
              <w:t xml:space="preserve">field_equipment_status、slot_statuses、junction_interlock_logs</w:t>
            </w:r>
          </w:p>
        </w:tc>
      </w:tr>
      <w:tr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eastAsia="標楷體"/>
                <w:b/>
                <w:bCs/>
                <w:sz w:val="21"/>
                <w:szCs w:val="21"/>
              </w:rPr>
              <w:t xml:space="preserve">車輛遙測與控制指令</w:t>
            </w:r>
          </w:p>
          <w:p>
            <w:pPr>
              <w:spacing w:after="40"/>
            </w:pPr>
            <w:r>
              <w:rPr>
                <w:rFonts w:ascii="Times New Roman" w:eastAsia="標楷體"/>
                <w:b/>
                <w:bCs/>
                <w:sz w:val="21"/>
                <w:szCs w:val="21"/>
              </w:rPr>
              <w:t xml:space="preserve">Vehicle Telemetry and Control Command</w:t>
            </w:r>
          </w:p>
        </w:tc>
        <w:tc>
          <w:tcPr>
            <w:tcW w:type="dxa" w:w="4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eastAsia="標楷體"/>
                <w:b w:val="false"/>
                <w:bCs w:val="false"/>
                <w:sz w:val="21"/>
                <w:szCs w:val="21"/>
              </w:rPr>
              <w:t xml:space="preserve">車端回傳之原始遙測資料、控制指令下達與回覆紀錄及速限設定</w:t>
            </w:r>
          </w:p>
          <w:p>
            <w:pPr>
              <w:spacing w:after="40"/>
            </w:pPr>
            <w:r>
              <w:rPr>
                <w:rFonts w:ascii="Times New Roman" w:eastAsia="標楷體"/>
                <w:b w:val="false"/>
                <w:bCs w:val="false"/>
                <w:sz w:val="21"/>
                <w:szCs w:val="21"/>
              </w:rPr>
              <w:t xml:space="preserve">Raw telemetry data reported by vehicles, control command issuance and response records, and speed limit configuration</w:t>
            </w:r>
          </w:p>
        </w:tc>
        <w:tc>
          <w:tcPr>
            <w:tcW w:type="dxa" w:w="3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eastAsia="標楷體"/>
                <w:b w:val="false"/>
                <w:bCs w:val="false"/>
                <w:sz w:val="21"/>
                <w:szCs w:val="21"/>
              </w:rPr>
              <w:t xml:space="preserve">telemetry_logs、command_logs、speed_limit_configs</w:t>
            </w:r>
          </w:p>
        </w:tc>
      </w:tr>
      <w:tr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eastAsia="標楷體"/>
                <w:b/>
                <w:bCs/>
                <w:sz w:val="21"/>
                <w:szCs w:val="21"/>
              </w:rPr>
              <w:t xml:space="preserve">媒體資源</w:t>
            </w:r>
          </w:p>
          <w:p>
            <w:pPr>
              <w:spacing w:after="40"/>
            </w:pPr>
            <w:r>
              <w:rPr>
                <w:rFonts w:ascii="Times New Roman" w:eastAsia="標楷體"/>
                <w:b/>
                <w:bCs/>
                <w:sz w:val="21"/>
                <w:szCs w:val="21"/>
              </w:rPr>
              <w:t xml:space="preserve">Media Resources</w:t>
            </w:r>
          </w:p>
        </w:tc>
        <w:tc>
          <w:tcPr>
            <w:tcW w:type="dxa" w:w="4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eastAsia="標楷體"/>
                <w:b w:val="false"/>
                <w:bCs w:val="false"/>
                <w:sz w:val="21"/>
                <w:szCs w:val="21"/>
              </w:rPr>
              <w:t xml:space="preserve">多媒體內容、分組與播放排程設定</w:t>
            </w:r>
          </w:p>
          <w:p>
            <w:pPr>
              <w:spacing w:after="40"/>
            </w:pPr>
            <w:r>
              <w:rPr>
                <w:rFonts w:ascii="Times New Roman" w:eastAsia="標楷體"/>
                <w:b w:val="false"/>
                <w:bCs w:val="false"/>
                <w:sz w:val="21"/>
                <w:szCs w:val="21"/>
              </w:rPr>
              <w:t xml:space="preserve">Multimedia content, grouping and playback scheduling settings</w:t>
            </w:r>
          </w:p>
        </w:tc>
        <w:tc>
          <w:tcPr>
            <w:tcW w:type="dxa" w:w="3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eastAsia="標楷體"/>
                <w:b w:val="false"/>
                <w:bCs w:val="false"/>
                <w:sz w:val="21"/>
                <w:szCs w:val="21"/>
              </w:rPr>
              <w:t xml:space="preserve">media_library_items</w:t>
            </w:r>
          </w:p>
        </w:tc>
      </w:tr>
      <w:tr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eastAsia="標楷體"/>
                <w:b/>
                <w:bCs/>
                <w:sz w:val="21"/>
                <w:szCs w:val="21"/>
              </w:rPr>
              <w:t xml:space="preserve">稽核與資安</w:t>
            </w:r>
          </w:p>
          <w:p>
            <w:pPr>
              <w:spacing w:after="40"/>
            </w:pPr>
            <w:r>
              <w:rPr>
                <w:rFonts w:ascii="Times New Roman" w:eastAsia="標楷體"/>
                <w:b/>
                <w:bCs/>
                <w:sz w:val="21"/>
                <w:szCs w:val="21"/>
              </w:rPr>
              <w:t xml:space="preserve">Audit and Security</w:t>
            </w:r>
          </w:p>
        </w:tc>
        <w:tc>
          <w:tcPr>
            <w:tcW w:type="dxa" w:w="4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eastAsia="標楷體"/>
                <w:b w:val="false"/>
                <w:bCs w:val="false"/>
                <w:sz w:val="21"/>
                <w:szCs w:val="21"/>
              </w:rPr>
              <w:t xml:space="preserve">操作人員行為紀錄及資安事件紀錄</w:t>
            </w:r>
          </w:p>
          <w:p>
            <w:pPr>
              <w:spacing w:after="40"/>
            </w:pPr>
            <w:r>
              <w:rPr>
                <w:rFonts w:ascii="Times New Roman" w:eastAsia="標楷體"/>
                <w:b w:val="false"/>
                <w:bCs w:val="false"/>
                <w:sz w:val="21"/>
                <w:szCs w:val="21"/>
              </w:rPr>
              <w:t xml:space="preserve">Operator activity records and information security event records</w:t>
            </w:r>
          </w:p>
        </w:tc>
        <w:tc>
          <w:tcPr>
            <w:tcW w:type="dxa" w:w="3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eastAsia="標楷體"/>
                <w:b w:val="false"/>
                <w:bCs w:val="false"/>
                <w:sz w:val="21"/>
                <w:szCs w:val="21"/>
              </w:rPr>
              <w:t xml:space="preserve">operator_action_logs、security_event_logs</w:t>
            </w:r>
          </w:p>
        </w:tc>
      </w:tr>
    </w:tbl>
    <w:p>
      <w:pPr>
        <w:spacing w:after="80"/>
      </w:pPr>
      <w:r>
        <w:rPr>
          <w:rFonts w:ascii="Times New Roman" w:eastAsia="標楷體"/>
          <w:sz w:val="20"/>
          <w:szCs w:val="20"/>
        </w:rPr>
        <w:t xml:space="preserve">註1：各資料表之欄位定義詳第02584K章附錄4，本計畫書不重複列載。</w:t>
      </w:r>
    </w:p>
    <w:p>
      <w:pPr>
        <w:spacing w:after="80"/>
      </w:pPr>
      <w:r>
        <w:rPr>
          <w:rFonts w:ascii="Times New Roman" w:eastAsia="標楷體"/>
          <w:sz w:val="20"/>
          <w:szCs w:val="20"/>
        </w:rPr>
        <w:t xml:space="preserve">註2：場域圖資（路網拓樸、站點與設施座標）以發布版本之圖資檔案保存，不另立資料表。</w:t>
      </w:r>
    </w:p>
    <w:p>
      <w:pPr>
        <w:spacing w:after="80"/>
      </w:pPr>
      <w:r>
        <w:rPr>
          <w:rFonts w:ascii="Times New Roman" w:eastAsia="標楷體"/>
          <w:sz w:val="20"/>
          <w:szCs w:val="20"/>
        </w:rPr>
        <w:t xml:space="preserve">註3：資料表設計後續依實際營運狀況調整。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start"/>
      <w:pPr>
        <w:ind w:left="42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2026-08-22T17:51:21.439Z</dcterms:created>
  <dcterms:modified xsi:type="dcterms:W3CDTF">2026-08-22T17:51:21.440Z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