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00" w:before="200"/>
      </w:pPr>
      <w:r>
        <w:rPr>
          <w:rFonts w:ascii="Times New Roman" w:eastAsia="標楷體"/>
          <w:b/>
          <w:bCs/>
          <w:sz w:val="24"/>
          <w:szCs w:val="24"/>
        </w:rPr>
        <w:t xml:space="preserve">開發階段 Development Phases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400"/>
        <w:gridCol w:w="6100"/>
      </w:tblGrid>
      <w:tr>
        <w:tc>
          <w:tcPr>
            <w:tcW w:type="dxa" w:w="3400"/>
            <w:shd w:fill="D9D9D9" w:val="clear"/>
            <w:tcMar>
              <w:top w:type="dxa" w:w="80"/>
              <w:left w:type="dxa" w:w="120"/>
              <w:bottom w:type="dxa" w:w="80"/>
              <w:right w:type="dxa" w:w="120"/>
            </w:tcMar>
          </w:tcPr>
          <w:p>
            <w:pPr>
              <w:spacing w:after="40"/>
            </w:pPr>
            <w:r>
              <w:rPr>
                <w:rFonts w:ascii="Times New Roman" w:eastAsia="標楷體"/>
                <w:b/>
                <w:bCs/>
                <w:sz w:val="21"/>
                <w:szCs w:val="21"/>
              </w:rPr>
              <w:t xml:space="preserve">開發項目</w:t>
            </w:r>
          </w:p>
          <w:p>
            <w:pPr>
              <w:spacing w:after="40"/>
            </w:pPr>
            <w:r>
              <w:rPr>
                <w:rFonts w:ascii="Times New Roman" w:eastAsia="標楷體"/>
                <w:b/>
                <w:bCs/>
                <w:sz w:val="21"/>
                <w:szCs w:val="21"/>
              </w:rPr>
              <w:t xml:space="preserve">Development Item</w:t>
            </w:r>
          </w:p>
        </w:tc>
        <w:tc>
          <w:tcPr>
            <w:tcW w:type="dxa" w:w="6100"/>
            <w:shd w:fill="D9D9D9" w:val="clear"/>
            <w:tcMar>
              <w:top w:type="dxa" w:w="80"/>
              <w:left w:type="dxa" w:w="120"/>
              <w:bottom w:type="dxa" w:w="80"/>
              <w:right w:type="dxa" w:w="12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r>
      <w:tr>
        <w:tc>
          <w:tcPr>
            <w:tcW w:type="dxa" w:w="9500"/>
            <w:gridSpan w:val="2"/>
            <w:shd w:fill="F2F2F2" w:val="clear"/>
            <w:tcMar>
              <w:top w:type="dxa" w:w="80"/>
              <w:left w:type="dxa" w:w="120"/>
              <w:bottom w:type="dxa" w:w="80"/>
              <w:right w:type="dxa" w:w="120"/>
            </w:tcMar>
          </w:tcPr>
          <w:p>
            <w:r>
              <w:rPr>
                <w:rFonts w:ascii="Times New Roman" w:eastAsia="標楷體"/>
                <w:b/>
                <w:bCs/>
                <w:sz w:val="21"/>
                <w:szCs w:val="21"/>
              </w:rPr>
              <w:t xml:space="preserve">核心軟體開發與模擬測試 Core Software Development and Simulation Testing</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VMS milestone 1 場域圖資與路網建置（車輛監控）</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建立場域圖資編輯與發布機制，完成路網節點、有向邊與行駛時間、站點及設施之定義，並建立營運路線與停靠站序，作為後續監控、排程與調度之基礎資料。</w:t>
            </w:r>
          </w:p>
          <w:p>
            <w:pPr>
              <w:spacing w:after="40"/>
            </w:pPr>
            <w:r>
              <w:rPr>
                <w:rFonts w:ascii="Times New Roman" w:eastAsia="標楷體"/>
                <w:b w:val="false"/>
                <w:bCs w:val="false"/>
                <w:sz w:val="21"/>
                <w:szCs w:val="21"/>
              </w:rPr>
              <w:t xml:space="preserve">Establishes field map editing and publishing, completes the definition of network nodes, directed edges with travel times, stations and facilities, and builds operational routes and station sequences as the foundation data for subsequent monitoring, scheduling and dispatching.</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VMS milestone 2 營運全景圖台與即時監控（車輛監控）</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建立圖台版面編輯與資料來源綁定機制，接收車輛狀態與場域設施狀態，完成路網、車輛、設施之即時圖形化顯示，以及事件清單、歷史事件檢視與報表輸出。</w:t>
            </w:r>
          </w:p>
          <w:p>
            <w:pPr>
              <w:spacing w:after="40"/>
            </w:pPr>
            <w:r>
              <w:rPr>
                <w:rFonts w:ascii="Times New Roman" w:eastAsia="標楷體"/>
                <w:b w:val="false"/>
                <w:bCs w:val="false"/>
                <w:sz w:val="21"/>
                <w:szCs w:val="21"/>
              </w:rPr>
              <w:t xml:space="preserve">Establishes dashboard layout editing and data source binding, receives vehicle status and field facility status, and completes real-time graphical display of the network, vehicles and facilities, together with the event list, historical event review and report generation.</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VMS milestone 3 班表規劃與部署（車輛監控）</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完成時間模板、路線群組與整備任務之設定，依營運需求產生營運班表並執行可行性檢核（含停靠點占用、班距與輪替完整性），完成班表部署、清單管理及班次運行紀錄。</w:t>
            </w:r>
          </w:p>
          <w:p>
            <w:pPr>
              <w:spacing w:after="40"/>
            </w:pPr>
            <w:r>
              <w:rPr>
                <w:rFonts w:ascii="Times New Roman" w:eastAsia="標楷體"/>
                <w:b w:val="false"/>
                <w:bCs w:val="false"/>
                <w:sz w:val="21"/>
                <w:szCs w:val="21"/>
              </w:rPr>
              <w:t xml:space="preserve">Completes the configuration of time templates, route groups and maintenance tasks, generates operational schedules according to operating requirements and performs feasibility verification (including berth occupancy, headway and rotation completeness), and completes schedule deployment, list management and trip operation records.</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VMS milestone 4 營運控制與系統介接（車輛監控）</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完成派遣調度、降級運轉及車門月台控制等營運控制功能；與車輛巡航管理系統（中心端）完成營運策略交付與執行結果回報，並提供車輛預估到站資訊予 IOT SCADA 監控管理系統。</w:t>
            </w:r>
          </w:p>
          <w:p>
            <w:pPr>
              <w:spacing w:after="40"/>
            </w:pPr>
            <w:r>
              <w:rPr>
                <w:rFonts w:ascii="Times New Roman" w:eastAsia="標楷體"/>
                <w:b w:val="false"/>
                <w:bCs w:val="false"/>
                <w:sz w:val="21"/>
                <w:szCs w:val="21"/>
              </w:rPr>
              <w:t xml:space="preserve">Completes operational control functions including dispatch management, degraded operation management and vehicle/platform door control; completes the delivery of operating strategies to and the reporting of execution results from the Vehicle Cruise Management System (Center Side), and provides vehicle estimated time of arrival information to the IOT SCADA Monitoring and Management System.</w:t>
            </w:r>
          </w:p>
        </w:tc>
      </w:tr>
      <w:tr>
        <w:tc>
          <w:tcPr>
            <w:tcW w:type="dxa" w:w="3400"/>
            <w:tcMar>
              <w:top w:type="dxa" w:w="80"/>
              <w:left w:type="dxa" w:w="120"/>
              <w:bottom w:type="dxa" w:w="80"/>
              <w:right w:type="dxa" w:w="120"/>
            </w:tcMar>
          </w:tcPr>
          <w:p>
            <w:pPr>
              <w:spacing w:after="40"/>
            </w:pPr>
            <w:r>
              <w:rPr>
                <w:rFonts w:ascii="Times New Roman" w:eastAsia="標楷體"/>
                <w:b/>
                <w:bCs/>
                <w:sz w:val="21"/>
                <w:szCs w:val="21"/>
              </w:rPr>
              <w:t xml:space="preserve">VMS milestone 5 帳號權限與稽核（車輛監控）</w:t>
            </w:r>
          </w:p>
        </w:tc>
        <w:tc>
          <w:tcPr>
            <w:tcW w:type="dxa" w:w="6100"/>
            <w:tcMar>
              <w:top w:type="dxa" w:w="80"/>
              <w:left w:type="dxa" w:w="120"/>
              <w:bottom w:type="dxa" w:w="80"/>
              <w:right w:type="dxa" w:w="120"/>
            </w:tcMar>
          </w:tcPr>
          <w:p>
            <w:pPr>
              <w:spacing w:after="40"/>
            </w:pPr>
            <w:r>
              <w:rPr>
                <w:rFonts w:ascii="Times New Roman" w:eastAsia="標楷體"/>
                <w:b w:val="false"/>
                <w:bCs w:val="false"/>
                <w:sz w:val="21"/>
                <w:szCs w:val="21"/>
              </w:rPr>
              <w:t xml:space="preserve">完成帳號、角色與功能權限之管理及綁定機制，建立登入登出、權限異動與營運操作之稽核紀錄，並完成系統參數設定、全域通知，以及資料加密、身分驗證與存取控管。</w:t>
            </w:r>
          </w:p>
          <w:p>
            <w:pPr>
              <w:spacing w:after="40"/>
            </w:pPr>
            <w:r>
              <w:rPr>
                <w:rFonts w:ascii="Times New Roman" w:eastAsia="標楷體"/>
                <w:b w:val="false"/>
                <w:bCs w:val="false"/>
                <w:sz w:val="21"/>
                <w:szCs w:val="21"/>
              </w:rPr>
              <w:t xml:space="preserve">Completes the management and binding of accounts, roles and function permissions, establishes audit records for login/logout, permission changes and operational activities, and completes system parameter settings, global notifications, data encryption, identity authentication and access control.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2026-08-23T03:03:07.047Z</dcterms:created>
  <dcterms:modified xsi:type="dcterms:W3CDTF">2026-08-23T03:03:07.048Z</dcterms:modified>
</cp:coreProperties>
</file>

<file path=docProps/custom.xml><?xml version="1.0" encoding="utf-8"?>
<Properties xmlns="http://schemas.openxmlformats.org/officeDocument/2006/custom-properties" xmlns:vt="http://schemas.openxmlformats.org/officeDocument/2006/docPropsVTypes"/>
</file>