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3"/>
        <w:spacing w:after="160" w:before="240"/>
      </w:pPr>
      <w:r>
        <w:rPr>
          <w:rFonts w:ascii="Times New Roman" w:eastAsia="標楷體"/>
          <w:b/>
          <w:bCs/>
          <w:sz w:val="28"/>
          <w:szCs w:val="28"/>
        </w:rPr>
        <w:t xml:space="preserve">車輛行車管理（含車輛監控系統）資料表分類與關聯</w:t>
      </w:r>
    </w:p>
    <w:p>
      <w:pPr>
        <w:spacing w:after="120" w:line="320"/>
      </w:pPr>
      <w:r>
        <w:rPr>
          <w:rFonts w:ascii="Times New Roman" w:eastAsia="標楷體"/>
          <w:sz w:val="24"/>
          <w:szCs w:val="24"/>
        </w:rPr>
        <w:t xml:space="preserve">本系統資料表依用途分為十大類，共 37 張資料表，各分類及對應資料表如下表所示。</w:t>
      </w:r>
    </w:p>
    <w:p>
      <w:pPr>
        <w:spacing w:after="200" w:line="320"/>
      </w:pPr>
      <w:r>
        <w:rPr>
          <w:rFonts w:ascii="Times New Roman" w:eastAsia="標楷體"/>
          <w:sz w:val="22"/>
          <w:szCs w:val="22"/>
        </w:rPr>
        <w:t xml:space="preserve">The data tables of this system are classified into ten categories comprising 37 data tables according to their purpose. The categories and their corresponding data tables are shown in the following table.</w:t>
      </w:r>
    </w:p>
    <w:p>
      <w:pPr>
        <w:spacing w:after="100" w:before="160"/>
        <w:jc w:val="center"/>
      </w:pPr>
      <w:r>
        <w:rPr>
          <w:rFonts w:ascii="Times New Roman" w:eastAsia="標楷體"/>
          <w:b/>
          <w:bCs/>
          <w:sz w:val="22"/>
          <w:szCs w:val="22"/>
        </w:rPr>
        <w:t xml:space="preserve">表 車輛行車管理（含車輛監控系統）資料表分類與關聯表</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100"/>
        <w:gridCol w:w="4100"/>
        <w:gridCol w:w="3100"/>
      </w:tblGrid>
      <w:tr>
        <w:tc>
          <w:tcPr>
            <w:tcW w:type="dxa" w:w="2100"/>
            <w:shd w:fill="D9D9D9" w:val="clear"/>
            <w:tcMar>
              <w:top w:type="dxa" w:w="70"/>
              <w:left w:type="dxa" w:w="110"/>
              <w:bottom w:type="dxa" w:w="70"/>
              <w:right w:type="dxa" w:w="110"/>
            </w:tcMar>
          </w:tcPr>
          <w:p>
            <w:pPr>
              <w:spacing w:after="40"/>
            </w:pPr>
            <w:r>
              <w:rPr>
                <w:rFonts w:ascii="Times New Roman" w:eastAsia="標楷體"/>
                <w:b/>
                <w:bCs/>
                <w:sz w:val="21"/>
                <w:szCs w:val="21"/>
              </w:rPr>
              <w:t xml:space="preserve">分類</w:t>
            </w:r>
          </w:p>
          <w:p>
            <w:pPr>
              <w:spacing w:after="40"/>
            </w:pPr>
            <w:r>
              <w:rPr>
                <w:rFonts w:ascii="Times New Roman" w:eastAsia="標楷體"/>
                <w:b/>
                <w:bCs/>
                <w:sz w:val="21"/>
                <w:szCs w:val="21"/>
              </w:rPr>
              <w:t xml:space="preserve">Category</w:t>
            </w:r>
          </w:p>
        </w:tc>
        <w:tc>
          <w:tcPr>
            <w:tcW w:type="dxa" w:w="4100"/>
            <w:shd w:fill="D9D9D9" w:val="clear"/>
            <w:tcMar>
              <w:top w:type="dxa" w:w="70"/>
              <w:left w:type="dxa" w:w="110"/>
              <w:bottom w:type="dxa" w:w="70"/>
              <w:right w:type="dxa" w:w="110"/>
            </w:tcMar>
          </w:tcPr>
          <w:p>
            <w:pPr>
              <w:spacing w:after="40"/>
            </w:pPr>
            <w:r>
              <w:rPr>
                <w:rFonts w:ascii="Times New Roman" w:eastAsia="標楷體"/>
                <w:b/>
                <w:bCs/>
                <w:sz w:val="21"/>
                <w:szCs w:val="21"/>
              </w:rPr>
              <w:t xml:space="preserve">說明</w:t>
            </w:r>
          </w:p>
          <w:p>
            <w:pPr>
              <w:spacing w:after="40"/>
            </w:pPr>
            <w:r>
              <w:rPr>
                <w:rFonts w:ascii="Times New Roman" w:eastAsia="標楷體"/>
                <w:b/>
                <w:bCs/>
                <w:sz w:val="21"/>
                <w:szCs w:val="21"/>
              </w:rPr>
              <w:t xml:space="preserve">Description</w:t>
            </w:r>
          </w:p>
        </w:tc>
        <w:tc>
          <w:tcPr>
            <w:tcW w:type="dxa" w:w="3100"/>
            <w:shd w:fill="D9D9D9" w:val="clear"/>
            <w:tcMar>
              <w:top w:type="dxa" w:w="70"/>
              <w:left w:type="dxa" w:w="110"/>
              <w:bottom w:type="dxa" w:w="70"/>
              <w:right w:type="dxa" w:w="110"/>
            </w:tcMar>
          </w:tcPr>
          <w:p>
            <w:pPr>
              <w:spacing w:after="40"/>
            </w:pPr>
            <w:r>
              <w:rPr>
                <w:rFonts w:ascii="Times New Roman" w:eastAsia="標楷體"/>
                <w:b/>
                <w:bCs/>
                <w:sz w:val="21"/>
                <w:szCs w:val="21"/>
              </w:rPr>
              <w:t xml:space="preserve">對應資料表</w:t>
            </w:r>
          </w:p>
          <w:p>
            <w:pPr>
              <w:spacing w:after="40"/>
            </w:pPr>
            <w:r>
              <w:rPr>
                <w:rFonts w:ascii="Times New Roman" w:eastAsia="標楷體"/>
                <w:b/>
                <w:bCs/>
                <w:sz w:val="21"/>
                <w:szCs w:val="21"/>
              </w:rPr>
              <w:t xml:space="preserve">Data Tables</w:t>
            </w:r>
          </w:p>
        </w:tc>
      </w:tr>
      <w:tr>
        <w:tc>
          <w:tcPr>
            <w:tcW w:type="dxa" w:w="2100"/>
            <w:tcMar>
              <w:top w:type="dxa" w:w="70"/>
              <w:left w:type="dxa" w:w="110"/>
              <w:bottom w:type="dxa" w:w="70"/>
              <w:right w:type="dxa" w:w="110"/>
            </w:tcMar>
          </w:tcPr>
          <w:p>
            <w:pPr>
              <w:spacing w:after="40"/>
            </w:pPr>
            <w:r>
              <w:rPr>
                <w:rFonts w:ascii="Times New Roman" w:eastAsia="標楷體"/>
                <w:b/>
                <w:bCs/>
                <w:sz w:val="21"/>
                <w:szCs w:val="21"/>
              </w:rPr>
              <w:t xml:space="preserve">主檔</w:t>
            </w:r>
          </w:p>
          <w:p>
            <w:pPr>
              <w:spacing w:after="40"/>
            </w:pPr>
            <w:r>
              <w:rPr>
                <w:rFonts w:ascii="Times New Roman" w:eastAsia="標楷體"/>
                <w:b/>
                <w:bCs/>
                <w:sz w:val="21"/>
                <w:szCs w:val="21"/>
              </w:rPr>
              <w:t xml:space="preserve">Master Data</w:t>
            </w:r>
          </w:p>
        </w:tc>
        <w:tc>
          <w:tcPr>
            <w:tcW w:type="dxa" w:w="4100"/>
            <w:tcMar>
              <w:top w:type="dxa" w:w="70"/>
              <w:left w:type="dxa" w:w="110"/>
              <w:bottom w:type="dxa" w:w="70"/>
              <w:right w:type="dxa" w:w="110"/>
            </w:tcMar>
          </w:tcPr>
          <w:p>
            <w:pPr>
              <w:spacing w:after="40"/>
            </w:pPr>
            <w:r>
              <w:rPr>
                <w:rFonts w:ascii="Times New Roman" w:eastAsia="標楷體"/>
                <w:b w:val="false"/>
                <w:bCs w:val="false"/>
                <w:sz w:val="21"/>
                <w:szCs w:val="21"/>
              </w:rPr>
              <w:t xml:space="preserve">車輛基本資料與外觀定義、路線、站點動作及設施格位之基本資料與設定</w:t>
            </w:r>
          </w:p>
          <w:p>
            <w:pPr>
              <w:spacing w:after="40"/>
            </w:pPr>
            <w:r>
              <w:rPr>
                <w:rFonts w:ascii="Times New Roman" w:eastAsia="標楷體"/>
                <w:b w:val="false"/>
                <w:bCs w:val="false"/>
                <w:sz w:val="21"/>
                <w:szCs w:val="21"/>
              </w:rPr>
              <w:t xml:space="preserve">Master data and configuration of vehicles and their appearance definitions, routes, station actions and facility slots</w:t>
            </w:r>
          </w:p>
        </w:tc>
        <w:tc>
          <w:tcPr>
            <w:tcW w:type="dxa" w:w="3100"/>
            <w:tcMar>
              <w:top w:type="dxa" w:w="70"/>
              <w:left w:type="dxa" w:w="110"/>
              <w:bottom w:type="dxa" w:w="70"/>
              <w:right w:type="dxa" w:w="110"/>
            </w:tcMar>
          </w:tcPr>
          <w:p>
            <w:pPr>
              <w:spacing w:after="40"/>
            </w:pPr>
            <w:r>
              <w:rPr>
                <w:rFonts w:ascii="Times New Roman" w:eastAsia="標楷體"/>
                <w:b w:val="false"/>
                <w:bCs w:val="false"/>
                <w:sz w:val="21"/>
                <w:szCs w:val="21"/>
              </w:rPr>
              <w:t xml:space="preserve">vehicles、vehicle_definitions、operation_routes、operation_route_stations、operation_route_station_actions、facility_slots</w:t>
            </w:r>
          </w:p>
        </w:tc>
      </w:tr>
      <w:tr>
        <w:tc>
          <w:tcPr>
            <w:tcW w:type="dxa" w:w="2100"/>
            <w:tcMar>
              <w:top w:type="dxa" w:w="70"/>
              <w:left w:type="dxa" w:w="110"/>
              <w:bottom w:type="dxa" w:w="70"/>
              <w:right w:type="dxa" w:w="110"/>
            </w:tcMar>
          </w:tcPr>
          <w:p>
            <w:pPr>
              <w:spacing w:after="40"/>
            </w:pPr>
            <w:r>
              <w:rPr>
                <w:rFonts w:ascii="Times New Roman" w:eastAsia="標楷體"/>
                <w:b/>
                <w:bCs/>
                <w:sz w:val="21"/>
                <w:szCs w:val="21"/>
              </w:rPr>
              <w:t xml:space="preserve">營運排程</w:t>
            </w:r>
          </w:p>
          <w:p>
            <w:pPr>
              <w:spacing w:after="40"/>
            </w:pPr>
            <w:r>
              <w:rPr>
                <w:rFonts w:ascii="Times New Roman" w:eastAsia="標楷體"/>
                <w:b/>
                <w:bCs/>
                <w:sz w:val="21"/>
                <w:szCs w:val="21"/>
              </w:rPr>
              <w:t xml:space="preserve">Operation Scheduling</w:t>
            </w:r>
          </w:p>
        </w:tc>
        <w:tc>
          <w:tcPr>
            <w:tcW w:type="dxa" w:w="4100"/>
            <w:tcMar>
              <w:top w:type="dxa" w:w="70"/>
              <w:left w:type="dxa" w:w="110"/>
              <w:bottom w:type="dxa" w:w="70"/>
              <w:right w:type="dxa" w:w="110"/>
            </w:tcMar>
          </w:tcPr>
          <w:p>
            <w:pPr>
              <w:spacing w:after="40"/>
            </w:pPr>
            <w:r>
              <w:rPr>
                <w:rFonts w:ascii="Times New Roman" w:eastAsia="標楷體"/>
                <w:b w:val="false"/>
                <w:bCs w:val="false"/>
                <w:sz w:val="21"/>
                <w:szCs w:val="21"/>
              </w:rPr>
              <w:t xml:space="preserve">時間模板、整備任務設定、營運班表（含班次、整備時段與調度移動）及班表調整之簽核請求</w:t>
            </w:r>
          </w:p>
          <w:p>
            <w:pPr>
              <w:spacing w:after="40"/>
            </w:pPr>
            <w:r>
              <w:rPr>
                <w:rFonts w:ascii="Times New Roman" w:eastAsia="標楷體"/>
                <w:b w:val="false"/>
                <w:bCs w:val="false"/>
                <w:sz w:val="21"/>
                <w:szCs w:val="21"/>
              </w:rPr>
              <w:t xml:space="preserve">Time templates, maintenance task configuration, operational schedules (including trips, maintenance slots and dispatch movements), and schedule adjustment approval requests</w:t>
            </w:r>
          </w:p>
        </w:tc>
        <w:tc>
          <w:tcPr>
            <w:tcW w:type="dxa" w:w="3100"/>
            <w:tcMar>
              <w:top w:type="dxa" w:w="70"/>
              <w:left w:type="dxa" w:w="110"/>
              <w:bottom w:type="dxa" w:w="70"/>
              <w:right w:type="dxa" w:w="110"/>
            </w:tcMar>
          </w:tcPr>
          <w:p>
            <w:pPr>
              <w:spacing w:after="40"/>
            </w:pPr>
            <w:r>
              <w:rPr>
                <w:rFonts w:ascii="Times New Roman" w:eastAsia="標楷體"/>
                <w:b w:val="false"/>
                <w:bCs w:val="false"/>
                <w:sz w:val="21"/>
                <w:szCs w:val="21"/>
              </w:rPr>
              <w:t xml:space="preserve">time_templates、maintenance_tasks、operation_shifts、schedule_adjust_requests</w:t>
            </w:r>
          </w:p>
        </w:tc>
      </w:tr>
      <w:tr>
        <w:tc>
          <w:tcPr>
            <w:tcW w:type="dxa" w:w="2100"/>
            <w:tcMar>
              <w:top w:type="dxa" w:w="70"/>
              <w:left w:type="dxa" w:w="110"/>
              <w:bottom w:type="dxa" w:w="70"/>
              <w:right w:type="dxa" w:w="110"/>
            </w:tcMar>
          </w:tcPr>
          <w:p>
            <w:pPr>
              <w:spacing w:after="40"/>
            </w:pPr>
            <w:r>
              <w:rPr>
                <w:rFonts w:ascii="Times New Roman" w:eastAsia="標楷體"/>
                <w:b/>
                <w:bCs/>
                <w:sz w:val="21"/>
                <w:szCs w:val="21"/>
              </w:rPr>
              <w:t xml:space="preserve">服務與訂單</w:t>
            </w:r>
          </w:p>
          <w:p>
            <w:pPr>
              <w:spacing w:after="40"/>
            </w:pPr>
            <w:r>
              <w:rPr>
                <w:rFonts w:ascii="Times New Roman" w:eastAsia="標楷體"/>
                <w:b/>
                <w:bCs/>
                <w:sz w:val="21"/>
                <w:szCs w:val="21"/>
              </w:rPr>
              <w:t xml:space="preserve">Service and Order</w:t>
            </w:r>
          </w:p>
        </w:tc>
        <w:tc>
          <w:tcPr>
            <w:tcW w:type="dxa" w:w="4100"/>
            <w:tcMar>
              <w:top w:type="dxa" w:w="70"/>
              <w:left w:type="dxa" w:w="110"/>
              <w:bottom w:type="dxa" w:w="70"/>
              <w:right w:type="dxa" w:w="110"/>
            </w:tcMar>
          </w:tcPr>
          <w:p>
            <w:pPr>
              <w:spacing w:after="40"/>
            </w:pPr>
            <w:r>
              <w:rPr>
                <w:rFonts w:ascii="Times New Roman" w:eastAsia="標楷體"/>
                <w:b w:val="false"/>
                <w:bCs w:val="false"/>
                <w:sz w:val="21"/>
                <w:szCs w:val="21"/>
              </w:rPr>
              <w:t xml:space="preserve">服務訂單、站點動作狀態及訂單事件紀錄</w:t>
            </w:r>
          </w:p>
          <w:p>
            <w:pPr>
              <w:spacing w:after="40"/>
            </w:pPr>
            <w:r>
              <w:rPr>
                <w:rFonts w:ascii="Times New Roman" w:eastAsia="標楷體"/>
                <w:b w:val="false"/>
                <w:bCs w:val="false"/>
                <w:sz w:val="21"/>
                <w:szCs w:val="21"/>
              </w:rPr>
              <w:t xml:space="preserve">Service orders, station action states and order event records</w:t>
            </w:r>
          </w:p>
        </w:tc>
        <w:tc>
          <w:tcPr>
            <w:tcW w:type="dxa" w:w="3100"/>
            <w:tcMar>
              <w:top w:type="dxa" w:w="70"/>
              <w:left w:type="dxa" w:w="110"/>
              <w:bottom w:type="dxa" w:w="70"/>
              <w:right w:type="dxa" w:w="110"/>
            </w:tcMar>
          </w:tcPr>
          <w:p>
            <w:pPr>
              <w:spacing w:after="40"/>
            </w:pPr>
            <w:r>
              <w:rPr>
                <w:rFonts w:ascii="Times New Roman" w:eastAsia="標楷體"/>
                <w:b w:val="false"/>
                <w:bCs w:val="false"/>
                <w:sz w:val="21"/>
                <w:szCs w:val="21"/>
              </w:rPr>
              <w:t xml:space="preserve">operation_orders、order_action_states、order_events</w:t>
            </w:r>
          </w:p>
        </w:tc>
      </w:tr>
      <w:tr>
        <w:tc>
          <w:tcPr>
            <w:tcW w:type="dxa" w:w="2100"/>
            <w:tcMar>
              <w:top w:type="dxa" w:w="70"/>
              <w:left w:type="dxa" w:w="110"/>
              <w:bottom w:type="dxa" w:w="70"/>
              <w:right w:type="dxa" w:w="110"/>
            </w:tcMar>
          </w:tcPr>
          <w:p>
            <w:pPr>
              <w:spacing w:after="40"/>
            </w:pPr>
            <w:r>
              <w:rPr>
                <w:rFonts w:ascii="Times New Roman" w:eastAsia="標楷體"/>
                <w:b/>
                <w:bCs/>
                <w:sz w:val="21"/>
                <w:szCs w:val="21"/>
              </w:rPr>
              <w:t xml:space="preserve">場域圖資</w:t>
            </w:r>
          </w:p>
          <w:p>
            <w:pPr>
              <w:spacing w:after="40"/>
            </w:pPr>
            <w:r>
              <w:rPr>
                <w:rFonts w:ascii="Times New Roman" w:eastAsia="標楷體"/>
                <w:b/>
                <w:bCs/>
                <w:sz w:val="21"/>
                <w:szCs w:val="21"/>
              </w:rPr>
              <w:t xml:space="preserve">Field Map Data</w:t>
            </w:r>
          </w:p>
        </w:tc>
        <w:tc>
          <w:tcPr>
            <w:tcW w:type="dxa" w:w="4100"/>
            <w:tcMar>
              <w:top w:type="dxa" w:w="70"/>
              <w:left w:type="dxa" w:w="110"/>
              <w:bottom w:type="dxa" w:w="70"/>
              <w:right w:type="dxa" w:w="110"/>
            </w:tcMar>
          </w:tcPr>
          <w:p>
            <w:pPr>
              <w:spacing w:after="40"/>
            </w:pPr>
            <w:r>
              <w:rPr>
                <w:rFonts w:ascii="Times New Roman" w:eastAsia="標楷體"/>
                <w:b w:val="false"/>
                <w:bCs w:val="false"/>
                <w:sz w:val="21"/>
                <w:szCs w:val="21"/>
              </w:rPr>
              <w:t xml:space="preserve">場域地圖主檔與逐版圖資內容（節點、有向邊與行駛時間、站點、設施、區域）；草稿與已發布版本均集中保存，對所有帳號一致</w:t>
            </w:r>
          </w:p>
          <w:p>
            <w:pPr>
              <w:spacing w:after="40"/>
            </w:pPr>
            <w:r>
              <w:rPr>
                <w:rFonts w:ascii="Times New Roman" w:eastAsia="標楷體"/>
                <w:b w:val="false"/>
                <w:bCs w:val="false"/>
                <w:sz w:val="21"/>
                <w:szCs w:val="21"/>
              </w:rPr>
              <w:t xml:space="preserve">Field map master data and versioned map content (nodes, directed edges with travel times, stations, facilities and areas); both drafts and published versions are stored centrally and are consistent for all accounts</w:t>
            </w:r>
          </w:p>
        </w:tc>
        <w:tc>
          <w:tcPr>
            <w:tcW w:type="dxa" w:w="3100"/>
            <w:tcMar>
              <w:top w:type="dxa" w:w="70"/>
              <w:left w:type="dxa" w:w="110"/>
              <w:bottom w:type="dxa" w:w="70"/>
              <w:right w:type="dxa" w:w="110"/>
            </w:tcMar>
          </w:tcPr>
          <w:p>
            <w:pPr>
              <w:spacing w:after="40"/>
            </w:pPr>
            <w:r>
              <w:rPr>
                <w:rFonts w:ascii="Times New Roman" w:eastAsia="標楷體"/>
                <w:b w:val="false"/>
                <w:bCs w:val="false"/>
                <w:sz w:val="21"/>
                <w:szCs w:val="21"/>
              </w:rPr>
              <w:t xml:space="preserve">maps、map_versions</w:t>
            </w:r>
          </w:p>
        </w:tc>
      </w:tr>
      <w:tr>
        <w:tc>
          <w:tcPr>
            <w:tcW w:type="dxa" w:w="2100"/>
            <w:tcMar>
              <w:top w:type="dxa" w:w="70"/>
              <w:left w:type="dxa" w:w="110"/>
              <w:bottom w:type="dxa" w:w="70"/>
              <w:right w:type="dxa" w:w="110"/>
            </w:tcMar>
          </w:tcPr>
          <w:p>
            <w:pPr>
              <w:spacing w:after="40"/>
            </w:pPr>
            <w:r>
              <w:rPr>
                <w:rFonts w:ascii="Times New Roman" w:eastAsia="標楷體"/>
                <w:b/>
                <w:bCs/>
                <w:sz w:val="21"/>
                <w:szCs w:val="21"/>
              </w:rPr>
              <w:t xml:space="preserve">場域與設備狀態</w:t>
            </w:r>
          </w:p>
          <w:p>
            <w:pPr>
              <w:spacing w:after="40"/>
            </w:pPr>
            <w:r>
              <w:rPr>
                <w:rFonts w:ascii="Times New Roman" w:eastAsia="標楷體"/>
                <w:b/>
                <w:bCs/>
                <w:sz w:val="21"/>
                <w:szCs w:val="21"/>
              </w:rPr>
              <w:t xml:space="preserve">Field and Equipment Status</w:t>
            </w:r>
          </w:p>
        </w:tc>
        <w:tc>
          <w:tcPr>
            <w:tcW w:type="dxa" w:w="4100"/>
            <w:tcMar>
              <w:top w:type="dxa" w:w="70"/>
              <w:left w:type="dxa" w:w="110"/>
              <w:bottom w:type="dxa" w:w="70"/>
              <w:right w:type="dxa" w:w="110"/>
            </w:tcMar>
          </w:tcPr>
          <w:p>
            <w:pPr>
              <w:spacing w:after="40"/>
            </w:pPr>
            <w:r>
              <w:rPr>
                <w:rFonts w:ascii="Times New Roman" w:eastAsia="標楷體"/>
                <w:b w:val="false"/>
                <w:bCs w:val="false"/>
                <w:sz w:val="21"/>
                <w:szCs w:val="21"/>
              </w:rPr>
              <w:t xml:space="preserve">路側設備健康狀態、設施格位即時狀態及路口閉鎖生命週期紀錄</w:t>
            </w:r>
          </w:p>
          <w:p>
            <w:pPr>
              <w:spacing w:after="40"/>
            </w:pPr>
            <w:r>
              <w:rPr>
                <w:rFonts w:ascii="Times New Roman" w:eastAsia="標楷體"/>
                <w:b w:val="false"/>
                <w:bCs w:val="false"/>
                <w:sz w:val="21"/>
                <w:szCs w:val="21"/>
              </w:rPr>
              <w:t xml:space="preserve">Health status of roadside equipment, real-time status of facility slots, and junction interlock lifecycle records</w:t>
            </w:r>
          </w:p>
        </w:tc>
        <w:tc>
          <w:tcPr>
            <w:tcW w:type="dxa" w:w="3100"/>
            <w:tcMar>
              <w:top w:type="dxa" w:w="70"/>
              <w:left w:type="dxa" w:w="110"/>
              <w:bottom w:type="dxa" w:w="70"/>
              <w:right w:type="dxa" w:w="110"/>
            </w:tcMar>
          </w:tcPr>
          <w:p>
            <w:pPr>
              <w:spacing w:after="40"/>
            </w:pPr>
            <w:r>
              <w:rPr>
                <w:rFonts w:ascii="Times New Roman" w:eastAsia="標楷體"/>
                <w:b w:val="false"/>
                <w:bCs w:val="false"/>
                <w:sz w:val="21"/>
                <w:szCs w:val="21"/>
              </w:rPr>
              <w:t xml:space="preserve">field_equipment_status、slot_statuses、junction_interlock_logs</w:t>
            </w:r>
          </w:p>
        </w:tc>
      </w:tr>
      <w:tr>
        <w:tc>
          <w:tcPr>
            <w:tcW w:type="dxa" w:w="2100"/>
            <w:tcMar>
              <w:top w:type="dxa" w:w="70"/>
              <w:left w:type="dxa" w:w="110"/>
              <w:bottom w:type="dxa" w:w="70"/>
              <w:right w:type="dxa" w:w="110"/>
            </w:tcMar>
          </w:tcPr>
          <w:p>
            <w:pPr>
              <w:spacing w:after="40"/>
            </w:pPr>
            <w:r>
              <w:rPr>
                <w:rFonts w:ascii="Times New Roman" w:eastAsia="標楷體"/>
                <w:b/>
                <w:bCs/>
                <w:sz w:val="21"/>
                <w:szCs w:val="21"/>
              </w:rPr>
              <w:t xml:space="preserve">車輛遙測與控制指令</w:t>
            </w:r>
          </w:p>
          <w:p>
            <w:pPr>
              <w:spacing w:after="40"/>
            </w:pPr>
            <w:r>
              <w:rPr>
                <w:rFonts w:ascii="Times New Roman" w:eastAsia="標楷體"/>
                <w:b/>
                <w:bCs/>
                <w:sz w:val="21"/>
                <w:szCs w:val="21"/>
              </w:rPr>
              <w:t xml:space="preserve">Vehicle Telemetry and Control Command</w:t>
            </w:r>
          </w:p>
        </w:tc>
        <w:tc>
          <w:tcPr>
            <w:tcW w:type="dxa" w:w="4100"/>
            <w:tcMar>
              <w:top w:type="dxa" w:w="70"/>
              <w:left w:type="dxa" w:w="110"/>
              <w:bottom w:type="dxa" w:w="70"/>
              <w:right w:type="dxa" w:w="110"/>
            </w:tcMar>
          </w:tcPr>
          <w:p>
            <w:pPr>
              <w:spacing w:after="40"/>
            </w:pPr>
            <w:r>
              <w:rPr>
                <w:rFonts w:ascii="Times New Roman" w:eastAsia="標楷體"/>
                <w:b w:val="false"/>
                <w:bCs w:val="false"/>
                <w:sz w:val="21"/>
                <w:szCs w:val="21"/>
              </w:rPr>
              <w:t xml:space="preserve">車端回傳之原始遙測資料、控制指令下達與回覆紀錄及速限設定</w:t>
            </w:r>
          </w:p>
          <w:p>
            <w:pPr>
              <w:spacing w:after="40"/>
            </w:pPr>
            <w:r>
              <w:rPr>
                <w:rFonts w:ascii="Times New Roman" w:eastAsia="標楷體"/>
                <w:b w:val="false"/>
                <w:bCs w:val="false"/>
                <w:sz w:val="21"/>
                <w:szCs w:val="21"/>
              </w:rPr>
              <w:t xml:space="preserve">Raw telemetry data reported by vehicles, control command issuance and response records, and speed limit configuration</w:t>
            </w:r>
          </w:p>
        </w:tc>
        <w:tc>
          <w:tcPr>
            <w:tcW w:type="dxa" w:w="3100"/>
            <w:tcMar>
              <w:top w:type="dxa" w:w="70"/>
              <w:left w:type="dxa" w:w="110"/>
              <w:bottom w:type="dxa" w:w="70"/>
              <w:right w:type="dxa" w:w="110"/>
            </w:tcMar>
          </w:tcPr>
          <w:p>
            <w:pPr>
              <w:spacing w:after="40"/>
            </w:pPr>
            <w:r>
              <w:rPr>
                <w:rFonts w:ascii="Times New Roman" w:eastAsia="標楷體"/>
                <w:b w:val="false"/>
                <w:bCs w:val="false"/>
                <w:sz w:val="21"/>
                <w:szCs w:val="21"/>
              </w:rPr>
              <w:t xml:space="preserve">telemetry_logs、command_logs、speed_limit_configs</w:t>
            </w:r>
          </w:p>
        </w:tc>
      </w:tr>
      <w:tr>
        <w:tc>
          <w:tcPr>
            <w:tcW w:type="dxa" w:w="2100"/>
            <w:tcMar>
              <w:top w:type="dxa" w:w="70"/>
              <w:left w:type="dxa" w:w="110"/>
              <w:bottom w:type="dxa" w:w="70"/>
              <w:right w:type="dxa" w:w="110"/>
            </w:tcMar>
          </w:tcPr>
          <w:p>
            <w:pPr>
              <w:spacing w:after="40"/>
            </w:pPr>
            <w:r>
              <w:rPr>
                <w:rFonts w:ascii="Times New Roman" w:eastAsia="標楷體"/>
                <w:b/>
                <w:bCs/>
                <w:sz w:val="21"/>
                <w:szCs w:val="21"/>
              </w:rPr>
              <w:t xml:space="preserve">介面資源</w:t>
            </w:r>
          </w:p>
          <w:p>
            <w:pPr>
              <w:spacing w:after="40"/>
            </w:pPr>
            <w:r>
              <w:rPr>
                <w:rFonts w:ascii="Times New Roman" w:eastAsia="標楷體"/>
                <w:b/>
                <w:bCs/>
                <w:sz w:val="21"/>
                <w:szCs w:val="21"/>
              </w:rPr>
              <w:t xml:space="preserve">Interface Resources</w:t>
            </w:r>
          </w:p>
        </w:tc>
        <w:tc>
          <w:tcPr>
            <w:tcW w:type="dxa" w:w="4100"/>
            <w:tcMar>
              <w:top w:type="dxa" w:w="70"/>
              <w:left w:type="dxa" w:w="110"/>
              <w:bottom w:type="dxa" w:w="70"/>
              <w:right w:type="dxa" w:w="110"/>
            </w:tcMar>
          </w:tcPr>
          <w:p>
            <w:pPr>
              <w:spacing w:after="40"/>
            </w:pPr>
            <w:r>
              <w:rPr>
                <w:rFonts w:ascii="Times New Roman" w:eastAsia="標楷體"/>
                <w:b w:val="false"/>
                <w:bCs w:val="false"/>
                <w:sz w:val="21"/>
                <w:szCs w:val="21"/>
              </w:rPr>
              <w:t xml:space="preserve">營運全景圖台版面與模組頁面對應、圖台元件之資料來源定義，及車上廣播媒體內容、分組與播放排程</w:t>
            </w:r>
          </w:p>
          <w:p>
            <w:pPr>
              <w:spacing w:after="40"/>
            </w:pPr>
            <w:r>
              <w:rPr>
                <w:rFonts w:ascii="Times New Roman" w:eastAsia="標楷體"/>
                <w:b w:val="false"/>
                <w:bCs w:val="false"/>
                <w:sz w:val="21"/>
                <w:szCs w:val="21"/>
              </w:rPr>
              <w:t xml:space="preserve">Operation panorama dashboard layouts and their module page mappings, data source definitions bound by dashboard widgets, and on-board broadcast media content, groups and playback schedules</w:t>
            </w:r>
          </w:p>
        </w:tc>
        <w:tc>
          <w:tcPr>
            <w:tcW w:type="dxa" w:w="3100"/>
            <w:tcMar>
              <w:top w:type="dxa" w:w="70"/>
              <w:left w:type="dxa" w:w="110"/>
              <w:bottom w:type="dxa" w:w="70"/>
              <w:right w:type="dxa" w:w="110"/>
            </w:tcMar>
          </w:tcPr>
          <w:p>
            <w:pPr>
              <w:spacing w:after="40"/>
            </w:pPr>
            <w:r>
              <w:rPr>
                <w:rFonts w:ascii="Times New Roman" w:eastAsia="標楷體"/>
                <w:b w:val="false"/>
                <w:bCs w:val="false"/>
                <w:sz w:val="21"/>
                <w:szCs w:val="21"/>
              </w:rPr>
              <w:t xml:space="preserve">dashboard_planes、module_dashboard_pages、data_sources、media_library_items、media_schedules</w:t>
            </w:r>
          </w:p>
        </w:tc>
      </w:tr>
      <w:tr>
        <w:tc>
          <w:tcPr>
            <w:tcW w:type="dxa" w:w="2100"/>
            <w:tcMar>
              <w:top w:type="dxa" w:w="70"/>
              <w:left w:type="dxa" w:w="110"/>
              <w:bottom w:type="dxa" w:w="70"/>
              <w:right w:type="dxa" w:w="110"/>
            </w:tcMar>
          </w:tcPr>
          <w:p>
            <w:pPr>
              <w:spacing w:after="40"/>
            </w:pPr>
            <w:r>
              <w:rPr>
                <w:rFonts w:ascii="Times New Roman" w:eastAsia="標楷體"/>
                <w:b/>
                <w:bCs/>
                <w:sz w:val="21"/>
                <w:szCs w:val="21"/>
              </w:rPr>
              <w:t xml:space="preserve">帳號與權限</w:t>
            </w:r>
          </w:p>
          <w:p>
            <w:pPr>
              <w:spacing w:after="40"/>
            </w:pPr>
            <w:r>
              <w:rPr>
                <w:rFonts w:ascii="Times New Roman" w:eastAsia="標楷體"/>
                <w:b/>
                <w:bCs/>
                <w:sz w:val="21"/>
                <w:szCs w:val="21"/>
              </w:rPr>
              <w:t xml:space="preserve">Account and Permission</w:t>
            </w:r>
          </w:p>
        </w:tc>
        <w:tc>
          <w:tcPr>
            <w:tcW w:type="dxa" w:w="4100"/>
            <w:tcMar>
              <w:top w:type="dxa" w:w="70"/>
              <w:left w:type="dxa" w:w="110"/>
              <w:bottom w:type="dxa" w:w="70"/>
              <w:right w:type="dxa" w:w="110"/>
            </w:tcMar>
          </w:tcPr>
          <w:p>
            <w:pPr>
              <w:spacing w:after="40"/>
            </w:pPr>
            <w:r>
              <w:rPr>
                <w:rFonts w:ascii="Times New Roman" w:eastAsia="標楷體"/>
                <w:b w:val="false"/>
                <w:bCs w:val="false"/>
                <w:sz w:val="21"/>
                <w:szCs w:val="21"/>
              </w:rPr>
              <w:t xml:space="preserve">操作人員帳號、角色、功能權限項目及其綁定關係</w:t>
            </w:r>
          </w:p>
          <w:p>
            <w:pPr>
              <w:spacing w:after="40"/>
            </w:pPr>
            <w:r>
              <w:rPr>
                <w:rFonts w:ascii="Times New Roman" w:eastAsia="標楷體"/>
                <w:b w:val="false"/>
                <w:bCs w:val="false"/>
                <w:sz w:val="21"/>
                <w:szCs w:val="21"/>
              </w:rPr>
              <w:t xml:space="preserve">Operator accounts, roles, function permission items and their binding relationships</w:t>
            </w:r>
          </w:p>
        </w:tc>
        <w:tc>
          <w:tcPr>
            <w:tcW w:type="dxa" w:w="3100"/>
            <w:tcMar>
              <w:top w:type="dxa" w:w="70"/>
              <w:left w:type="dxa" w:w="110"/>
              <w:bottom w:type="dxa" w:w="70"/>
              <w:right w:type="dxa" w:w="110"/>
            </w:tcMar>
          </w:tcPr>
          <w:p>
            <w:pPr>
              <w:spacing w:after="40"/>
            </w:pPr>
            <w:r>
              <w:rPr>
                <w:rFonts w:ascii="Times New Roman" w:eastAsia="標楷體"/>
                <w:b w:val="false"/>
                <w:bCs w:val="false"/>
                <w:sz w:val="21"/>
                <w:szCs w:val="21"/>
              </w:rPr>
              <w:t xml:space="preserve">accounts、roles、permissions、role_permissions、account_roles</w:t>
            </w:r>
          </w:p>
        </w:tc>
      </w:tr>
      <w:tr>
        <w:tc>
          <w:tcPr>
            <w:tcW w:type="dxa" w:w="2100"/>
            <w:tcMar>
              <w:top w:type="dxa" w:w="70"/>
              <w:left w:type="dxa" w:w="110"/>
              <w:bottom w:type="dxa" w:w="70"/>
              <w:right w:type="dxa" w:w="110"/>
            </w:tcMar>
          </w:tcPr>
          <w:p>
            <w:pPr>
              <w:spacing w:after="40"/>
            </w:pPr>
            <w:r>
              <w:rPr>
                <w:rFonts w:ascii="Times New Roman" w:eastAsia="標楷體"/>
                <w:b/>
                <w:bCs/>
                <w:sz w:val="21"/>
                <w:szCs w:val="21"/>
              </w:rPr>
              <w:t xml:space="preserve">稽核日誌</w:t>
            </w:r>
          </w:p>
          <w:p>
            <w:pPr>
              <w:spacing w:after="40"/>
            </w:pPr>
            <w:r>
              <w:rPr>
                <w:rFonts w:ascii="Times New Roman" w:eastAsia="標楷體"/>
                <w:b/>
                <w:bCs/>
                <w:sz w:val="21"/>
                <w:szCs w:val="21"/>
              </w:rPr>
              <w:t xml:space="preserve">Audit Logs</w:t>
            </w:r>
          </w:p>
        </w:tc>
        <w:tc>
          <w:tcPr>
            <w:tcW w:type="dxa" w:w="4100"/>
            <w:tcMar>
              <w:top w:type="dxa" w:w="70"/>
              <w:left w:type="dxa" w:w="110"/>
              <w:bottom w:type="dxa" w:w="70"/>
              <w:right w:type="dxa" w:w="110"/>
            </w:tcMar>
          </w:tcPr>
          <w:p>
            <w:pPr>
              <w:spacing w:after="40"/>
            </w:pPr>
            <w:r>
              <w:rPr>
                <w:rFonts w:ascii="Times New Roman" w:eastAsia="標楷體"/>
                <w:b w:val="false"/>
                <w:bCs w:val="false"/>
                <w:sz w:val="21"/>
                <w:szCs w:val="21"/>
              </w:rPr>
              <w:t xml:space="preserve">營運操作、登入登出、權限異動及資安事件之稽核紀錄</w:t>
            </w:r>
          </w:p>
          <w:p>
            <w:pPr>
              <w:spacing w:after="40"/>
            </w:pPr>
            <w:r>
              <w:rPr>
                <w:rFonts w:ascii="Times New Roman" w:eastAsia="標楷體"/>
                <w:b w:val="false"/>
                <w:bCs w:val="false"/>
                <w:sz w:val="21"/>
                <w:szCs w:val="21"/>
              </w:rPr>
              <w:t xml:space="preserve">Audit records of operational activities, login/logout events, permission changes and information security events</w:t>
            </w:r>
          </w:p>
        </w:tc>
        <w:tc>
          <w:tcPr>
            <w:tcW w:type="dxa" w:w="3100"/>
            <w:tcMar>
              <w:top w:type="dxa" w:w="70"/>
              <w:left w:type="dxa" w:w="110"/>
              <w:bottom w:type="dxa" w:w="70"/>
              <w:right w:type="dxa" w:w="110"/>
            </w:tcMar>
          </w:tcPr>
          <w:p>
            <w:pPr>
              <w:spacing w:after="40"/>
            </w:pPr>
            <w:r>
              <w:rPr>
                <w:rFonts w:ascii="Times New Roman" w:eastAsia="標楷體"/>
                <w:b w:val="false"/>
                <w:bCs w:val="false"/>
                <w:sz w:val="21"/>
                <w:szCs w:val="21"/>
              </w:rPr>
              <w:t xml:space="preserve">operator_action_logs、login_logs、permission_change_logs、security_event_logs</w:t>
            </w:r>
          </w:p>
        </w:tc>
      </w:tr>
      <w:tr>
        <w:tc>
          <w:tcPr>
            <w:tcW w:type="dxa" w:w="2100"/>
            <w:tcMar>
              <w:top w:type="dxa" w:w="70"/>
              <w:left w:type="dxa" w:w="110"/>
              <w:bottom w:type="dxa" w:w="70"/>
              <w:right w:type="dxa" w:w="110"/>
            </w:tcMar>
          </w:tcPr>
          <w:p>
            <w:pPr>
              <w:spacing w:after="40"/>
            </w:pPr>
            <w:r>
              <w:rPr>
                <w:rFonts w:ascii="Times New Roman" w:eastAsia="標楷體"/>
                <w:b/>
                <w:bCs/>
                <w:sz w:val="21"/>
                <w:szCs w:val="21"/>
              </w:rPr>
              <w:t xml:space="preserve">系統基礎</w:t>
            </w:r>
          </w:p>
          <w:p>
            <w:pPr>
              <w:spacing w:after="40"/>
            </w:pPr>
            <w:r>
              <w:rPr>
                <w:rFonts w:ascii="Times New Roman" w:eastAsia="標楷體"/>
                <w:b/>
                <w:bCs/>
                <w:sz w:val="21"/>
                <w:szCs w:val="21"/>
              </w:rPr>
              <w:t xml:space="preserve">System Base</w:t>
            </w:r>
          </w:p>
        </w:tc>
        <w:tc>
          <w:tcPr>
            <w:tcW w:type="dxa" w:w="4100"/>
            <w:tcMar>
              <w:top w:type="dxa" w:w="70"/>
              <w:left w:type="dxa" w:w="110"/>
              <w:bottom w:type="dxa" w:w="70"/>
              <w:right w:type="dxa" w:w="110"/>
            </w:tcMar>
          </w:tcPr>
          <w:p>
            <w:pPr>
              <w:spacing w:after="40"/>
            </w:pPr>
            <w:r>
              <w:rPr>
                <w:rFonts w:ascii="Times New Roman" w:eastAsia="標楷體"/>
                <w:b w:val="false"/>
                <w:bCs w:val="false"/>
                <w:sz w:val="21"/>
                <w:szCs w:val="21"/>
              </w:rPr>
              <w:t xml:space="preserve">系統參數設定及全域通知訊息</w:t>
            </w:r>
          </w:p>
          <w:p>
            <w:pPr>
              <w:spacing w:after="40"/>
            </w:pPr>
            <w:r>
              <w:rPr>
                <w:rFonts w:ascii="Times New Roman" w:eastAsia="標楷體"/>
                <w:b w:val="false"/>
                <w:bCs w:val="false"/>
                <w:sz w:val="21"/>
                <w:szCs w:val="21"/>
              </w:rPr>
              <w:t xml:space="preserve">System parameter settings and global notification messages</w:t>
            </w:r>
          </w:p>
        </w:tc>
        <w:tc>
          <w:tcPr>
            <w:tcW w:type="dxa" w:w="3100"/>
            <w:tcMar>
              <w:top w:type="dxa" w:w="70"/>
              <w:left w:type="dxa" w:w="110"/>
              <w:bottom w:type="dxa" w:w="70"/>
              <w:right w:type="dxa" w:w="110"/>
            </w:tcMar>
          </w:tcPr>
          <w:p>
            <w:pPr>
              <w:spacing w:after="40"/>
            </w:pPr>
            <w:r>
              <w:rPr>
                <w:rFonts w:ascii="Times New Roman" w:eastAsia="標楷體"/>
                <w:b w:val="false"/>
                <w:bCs w:val="false"/>
                <w:sz w:val="21"/>
                <w:szCs w:val="21"/>
              </w:rPr>
              <w:t xml:space="preserve">system_settings、notifications</w:t>
            </w:r>
          </w:p>
        </w:tc>
      </w:tr>
    </w:tbl>
    <w:p>
      <w:pPr>
        <w:spacing w:after="80"/>
      </w:pPr>
      <w:r>
        <w:rPr>
          <w:rFonts w:ascii="Times New Roman" w:eastAsia="標楷體"/>
          <w:sz w:val="20"/>
          <w:szCs w:val="20"/>
        </w:rPr>
        <w:t xml:space="preserve">註1：各資料表之欄位定義詳第02584K章附錄4，本計畫書不重複列載。</w:t>
      </w:r>
    </w:p>
    <w:p>
      <w:pPr>
        <w:spacing w:after="80"/>
      </w:pPr>
      <w:r>
        <w:rPr>
          <w:rFonts w:ascii="Times New Roman" w:eastAsia="標楷體"/>
          <w:sz w:val="20"/>
          <w:szCs w:val="20"/>
        </w:rPr>
        <w:t xml:space="preserve">註2：場域圖資之草稿與已發布版本均保存於 maps 與 map_versions；圖資為全系統共用資產，任一帳號所見內容一致。</w:t>
      </w:r>
    </w:p>
    <w:p>
      <w:pPr>
        <w:spacing w:after="80"/>
      </w:pPr>
      <w:r>
        <w:rPr>
          <w:rFonts w:ascii="Times New Roman" w:eastAsia="標楷體"/>
          <w:sz w:val="20"/>
          <w:szCs w:val="20"/>
        </w:rPr>
        <w:t xml:space="preserve">註3：系統另有展示用示範資料表，非營運資料，未列入本表。</w:t>
      </w:r>
    </w:p>
    <w:p>
      <w:pPr>
        <w:spacing w:after="80"/>
      </w:pPr>
      <w:r>
        <w:rPr>
          <w:rFonts w:ascii="Times New Roman" w:eastAsia="標楷體"/>
          <w:sz w:val="20"/>
          <w:szCs w:val="20"/>
        </w:rPr>
        <w:t xml:space="preserve">註4：資料表設計後續依實際營運狀況調整。</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2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2026-08-22T19:12:38.812Z</dcterms:created>
  <dcterms:modified xsi:type="dcterms:W3CDTF">2026-08-22T19:12:38.812Z</dcterms:modified>
</cp:coreProperties>
</file>

<file path=docProps/custom.xml><?xml version="1.0" encoding="utf-8"?>
<Properties xmlns="http://schemas.openxmlformats.org/officeDocument/2006/custom-properties" xmlns:vt="http://schemas.openxmlformats.org/officeDocument/2006/docPropsVTypes"/>
</file>