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60" w:before="240"/>
      </w:pPr>
      <w:r>
        <w:rPr>
          <w:rFonts w:ascii="Times New Roman" w:eastAsia="標楷體"/>
          <w:b/>
          <w:bCs/>
          <w:sz w:val="28"/>
          <w:szCs w:val="28"/>
        </w:rPr>
        <w:t xml:space="preserve">車輛行車管理（含車輛監控系統）</w:t>
      </w:r>
    </w:p>
    <w:p>
      <w:pPr>
        <w:spacing w:after="120" w:line="320"/>
      </w:pPr>
      <w:r>
        <w:rPr>
          <w:rFonts w:ascii="Times New Roman" w:eastAsia="標楷體"/>
          <w:sz w:val="24"/>
          <w:szCs w:val="24"/>
        </w:rPr>
        <w:t xml:space="preserve">車輛行車管理系統（含車輛監控系統，Vehicle Traffic Management System, incl. Vehicle Monitoring System）為全場域營運之核心監控與管理平台，負責彙整場域內車輛、設施及事件資訊，提供營運人員全景監控與集中管理介面；並依營運需求制定班表、調度及速限等營運策略，將策略結果交付車輛巡航管理系統（中心端）執行，同時管理載具、場域、服務、媒體、權限與日誌等營運資源。</w:t>
      </w:r>
    </w:p>
    <w:p>
      <w:pPr>
        <w:spacing w:after="200" w:line="320"/>
      </w:pPr>
      <w:r>
        <w:rPr>
          <w:rFonts w:ascii="Times New Roman" w:eastAsia="標楷體"/>
          <w:sz w:val="22"/>
          <w:szCs w:val="22"/>
        </w:rPr>
        <w:t xml:space="preserve">The Vehicle Traffic Management System (including the Vehicle Monitoring System) serves as the core operational monitoring and management platform for the entire field. It aggregates information on vehicles, facilities and events within the field and provides operators with a panoramic monitoring and centralized management interface. Based on operational requirements, it formulates operating strategies such as schedules, dispatching and speed limits, and delivers the resulting strategies to the Vehicle Cruise Management System (Center Side) for execution. It also manages operational resources including vehicles, field data, services, media, permissions and logs.</w:t>
      </w:r>
    </w:p>
    <w:p>
      <w:pPr>
        <w:spacing w:after="100" w:before="200"/>
      </w:pPr>
      <w:r>
        <w:rPr>
          <w:rFonts w:ascii="Times New Roman" w:eastAsia="標楷體"/>
          <w:b/>
          <w:bCs/>
          <w:sz w:val="24"/>
          <w:szCs w:val="24"/>
        </w:rPr>
        <w:t xml:space="preserve">系統邊界與範圍界定 System Scope and Boundary Definition</w:t>
      </w:r>
    </w:p>
    <w:p>
      <w:pPr>
        <w:spacing w:after="100" w:before="200"/>
      </w:pPr>
      <w:r>
        <w:rPr>
          <w:rFonts w:ascii="Times New Roman" w:eastAsia="標楷體"/>
          <w:b/>
          <w:bCs/>
          <w:sz w:val="24"/>
          <w:szCs w:val="24"/>
        </w:rPr>
        <w:t xml:space="preserve">車輛行車管理（含車輛監控系統）負責範圍</w:t>
      </w:r>
    </w:p>
    <w:p>
      <w:pPr>
        <w:pStyle w:val="ListParagraph"/>
        <w:numPr>
          <w:ilvl w:val="0"/>
          <w:numId w:val="2"/>
        </w:numPr>
        <w:spacing w:after="100" w:line="320"/>
      </w:pPr>
      <w:r>
        <w:rPr>
          <w:rFonts w:ascii="Times New Roman" w:eastAsia="標楷體"/>
          <w:sz w:val="24"/>
          <w:szCs w:val="24"/>
        </w:rPr>
        <w:t xml:space="preserve">提供全場域營運核心監控，包含營運全景圖台、載具監控數據、即時班表資訊及即時營運數據之顯示與視覺化。</w:t>
      </w:r>
    </w:p>
    <w:p>
      <w:pPr>
        <w:pStyle w:val="ListParagraph"/>
        <w:numPr>
          <w:ilvl w:val="0"/>
          <w:numId w:val="2"/>
        </w:numPr>
        <w:spacing w:after="100" w:line="320"/>
      </w:pPr>
      <w:r>
        <w:rPr>
          <w:rFonts w:ascii="Times New Roman" w:eastAsia="標楷體"/>
          <w:sz w:val="24"/>
          <w:szCs w:val="24"/>
        </w:rPr>
        <w:t xml:space="preserve">制定營運策略並產生營運班表，包含時間模板、路線群組、整備任務之設定，以及班表之規劃、可行性檢核、部署與清單管理。</w:t>
      </w:r>
    </w:p>
    <w:p>
      <w:pPr>
        <w:pStyle w:val="ListParagraph"/>
        <w:numPr>
          <w:ilvl w:val="0"/>
          <w:numId w:val="2"/>
        </w:numPr>
        <w:spacing w:after="100" w:line="320"/>
      </w:pPr>
      <w:r>
        <w:rPr>
          <w:rFonts w:ascii="Times New Roman" w:eastAsia="標楷體"/>
          <w:sz w:val="24"/>
          <w:szCs w:val="24"/>
        </w:rPr>
        <w:t xml:space="preserve">執行營運控制，包含班表部署管理、降級運轉管理、派遣調度管理及車門月台控制。</w:t>
      </w:r>
    </w:p>
    <w:p>
      <w:pPr>
        <w:pStyle w:val="ListParagraph"/>
        <w:numPr>
          <w:ilvl w:val="0"/>
          <w:numId w:val="2"/>
        </w:numPr>
        <w:spacing w:after="100" w:line="320"/>
      </w:pPr>
      <w:r>
        <w:rPr>
          <w:rFonts w:ascii="Times New Roman" w:eastAsia="標楷體"/>
          <w:sz w:val="24"/>
          <w:szCs w:val="24"/>
        </w:rPr>
        <w:t xml:space="preserve">集中管理場域事件，包含事件即時清單、歷史事件檢視、事件報表輸出及影像監控管理。</w:t>
      </w:r>
    </w:p>
    <w:p>
      <w:pPr>
        <w:pStyle w:val="ListParagraph"/>
        <w:numPr>
          <w:ilvl w:val="0"/>
          <w:numId w:val="2"/>
        </w:numPr>
        <w:spacing w:after="100" w:line="320"/>
      </w:pPr>
      <w:r>
        <w:rPr>
          <w:rFonts w:ascii="Times New Roman" w:eastAsia="標楷體"/>
          <w:sz w:val="24"/>
          <w:szCs w:val="24"/>
        </w:rPr>
        <w:t xml:space="preserve">管理營運資源，包含載具註冊與運行紀錄、場域圖資與站點設施資訊、服務路線與訂單、以及媒體資訊。</w:t>
      </w:r>
    </w:p>
    <w:p>
      <w:pPr>
        <w:pStyle w:val="ListParagraph"/>
        <w:numPr>
          <w:ilvl w:val="0"/>
          <w:numId w:val="2"/>
        </w:numPr>
        <w:spacing w:after="100" w:line="320"/>
      </w:pPr>
      <w:r>
        <w:rPr>
          <w:rFonts w:ascii="Times New Roman" w:eastAsia="標楷體"/>
          <w:sz w:val="24"/>
          <w:szCs w:val="24"/>
        </w:rPr>
        <w:t xml:space="preserve">管理系統後勤，包含帳號與角色權限、系統操作與營運日誌、系統參數設定及系統監測狀態。</w:t>
      </w:r>
    </w:p>
    <w:p>
      <w:pPr>
        <w:spacing w:after="200" w:line="320"/>
      </w:pPr>
      <w:r>
        <w:rPr>
          <w:rFonts w:ascii="Times New Roman" w:eastAsia="標楷體"/>
          <w:sz w:val="22"/>
          <w:szCs w:val="22"/>
        </w:rPr>
        <w:t xml:space="preserve">1. Provides core operational monitoring of the entire field, including the operation panorama dashboard, vehicle monitoring data, real-time schedule information, and real-time operational data display and visualization. 2. Formulates operating strategies and generates operational schedules, including the configuration of time templates, route groups and maintenance tasks, as well as schedule planning, feasibility verification, deployment and list management. 3. Performs operational control, including schedule deployment management, degraded operation management, dispatch management, and vehicle and platform door control. 4. Centrally manages field events, including the event information list, historical event review, event report generation and video monitoring management. 5. Manages operational resources, including vehicle registration and operation records, field map data and station/facility information, service routes and orders, and media information. 6. Manages system logistics, including account and role permissions, system operation and operational logs, system parameter settings and system monitoring status.</w:t>
      </w:r>
    </w:p>
    <w:p>
      <w:pPr>
        <w:spacing w:after="100" w:before="200"/>
      </w:pPr>
      <w:r>
        <w:rPr>
          <w:rFonts w:ascii="Times New Roman" w:eastAsia="標楷體"/>
          <w:b/>
          <w:bCs/>
          <w:sz w:val="24"/>
          <w:szCs w:val="24"/>
        </w:rPr>
        <w:t xml:space="preserve">與相鄰子系統分界 Boundaries with Adjacent Subsystems</w:t>
      </w:r>
    </w:p>
    <w:p>
      <w:pPr>
        <w:spacing w:after="100" w:before="200"/>
      </w:pPr>
      <w:r>
        <w:rPr>
          <w:rFonts w:ascii="Times New Roman" w:eastAsia="標楷體"/>
          <w:b/>
          <w:bCs/>
          <w:sz w:val="24"/>
          <w:szCs w:val="24"/>
        </w:rPr>
        <w:t xml:space="preserve">車輛巡航管理系統（中心端）Vehicle Cruise Management System (Center Side)</w:t>
      </w:r>
    </w:p>
    <w:p>
      <w:pPr>
        <w:pStyle w:val="ListParagraph"/>
        <w:numPr>
          <w:ilvl w:val="0"/>
          <w:numId w:val="3"/>
        </w:numPr>
        <w:spacing w:after="100" w:line="320"/>
      </w:pPr>
      <w:r>
        <w:rPr>
          <w:rFonts w:ascii="Times New Roman" w:eastAsia="標楷體"/>
          <w:sz w:val="24"/>
          <w:szCs w:val="24"/>
        </w:rPr>
        <w:t xml:space="preserve">車輛行車管理（含車輛監控系統）：負責車隊營運管理、任務排程、調度規劃及速度限制等營運策略之制定，並將策略結果交付巡航管理系統（中心端），不負責巡航控制邏輯。</w:t>
      </w:r>
    </w:p>
    <w:p>
      <w:pPr>
        <w:pStyle w:val="ListParagraph"/>
        <w:numPr>
          <w:ilvl w:val="0"/>
          <w:numId w:val="3"/>
        </w:numPr>
        <w:spacing w:after="100" w:line="320"/>
      </w:pPr>
      <w:r>
        <w:rPr>
          <w:rFonts w:ascii="Times New Roman" w:eastAsia="標楷體"/>
          <w:sz w:val="24"/>
          <w:szCs w:val="24"/>
        </w:rPr>
        <w:t xml:space="preserve">車輛巡航管理系統（中心端）：負責接收與解析營運及任務排程結果，結合即時場域資訊及車輛狀態產生巡航控制決策與指令，不負責營運策略制定。</w:t>
      </w:r>
    </w:p>
    <w:p>
      <w:pPr>
        <w:spacing w:after="200" w:line="320"/>
      </w:pPr>
      <w:r>
        <w:rPr>
          <w:rFonts w:ascii="Times New Roman" w:eastAsia="標楷體"/>
          <w:sz w:val="22"/>
          <w:szCs w:val="22"/>
        </w:rPr>
        <w:t xml:space="preserve">Vehicle Traffic Management (incl. Vehicle Monitoring System): responsible for formulating operating strategies such as fleet operation management, mission scheduling, dispatch planning and speed limits, and for delivering the resulting strategies to the Cruise Management System (Center Side); not responsible for cruise control logic. Vehicle Cruise Management System (Center Side): responsible for receiving and interpreting the operational and mission scheduling results, and for generating cruise control decisions and commands in combination with real-time field conditions and vehicle status; not responsible for the formulation of operating strategies.</w:t>
      </w:r>
    </w:p>
    <w:p>
      <w:pPr>
        <w:spacing w:after="100" w:before="200"/>
      </w:pPr>
      <w:r>
        <w:rPr>
          <w:rFonts w:ascii="Times New Roman" w:eastAsia="標楷體"/>
          <w:b/>
          <w:bCs/>
          <w:sz w:val="24"/>
          <w:szCs w:val="24"/>
        </w:rPr>
        <w:t xml:space="preserve">IOT SCADA 監控管理系統 IOT SCADA Monitoring and Management System</w:t>
      </w:r>
    </w:p>
    <w:p>
      <w:pPr>
        <w:pStyle w:val="ListParagraph"/>
        <w:numPr>
          <w:ilvl w:val="0"/>
          <w:numId w:val="3"/>
        </w:numPr>
        <w:spacing w:after="100" w:line="320"/>
      </w:pPr>
      <w:r>
        <w:rPr>
          <w:rFonts w:ascii="Times New Roman" w:eastAsia="標楷體"/>
          <w:sz w:val="24"/>
          <w:szCs w:val="24"/>
        </w:rPr>
        <w:t xml:space="preserve">車輛行車管理（含車輛監控系統）：接收 IOT SCADA 提供之場域設施狀態與告警資訊，作為圖台顯示、事件管理及營運判斷依據；並提供車輛預估到站（ETA）資訊予 IOT SCADA 使用，不負責場域設施之控制。</w:t>
      </w:r>
    </w:p>
    <w:p>
      <w:pPr>
        <w:pStyle w:val="ListParagraph"/>
        <w:numPr>
          <w:ilvl w:val="0"/>
          <w:numId w:val="3"/>
        </w:numPr>
        <w:spacing w:after="100" w:line="320"/>
      </w:pPr>
      <w:r>
        <w:rPr>
          <w:rFonts w:ascii="Times New Roman" w:eastAsia="標楷體"/>
          <w:sz w:val="24"/>
          <w:szCs w:val="24"/>
        </w:rPr>
        <w:t xml:space="preserve">IOT SCADA 監控管理系統：負責場域設施狀態蒐集、告警管理及設備管理，不負責營運班表與調度決策。</w:t>
      </w:r>
    </w:p>
    <w:p>
      <w:pPr>
        <w:spacing w:after="200" w:line="320"/>
      </w:pPr>
      <w:r>
        <w:rPr>
          <w:rFonts w:ascii="Times New Roman" w:eastAsia="標楷體"/>
          <w:sz w:val="22"/>
          <w:szCs w:val="22"/>
        </w:rPr>
        <w:t xml:space="preserve">Vehicle Traffic Management (incl. Vehicle Monitoring System): receives field facility status and alarm information provided by the IOT SCADA system as the basis for dashboard display, event management and operational judgement, and provides vehicle estimated time of arrival (ETA) information to the IOT SCADA system; not responsible for the control of field facilities. IOT SCADA Monitoring and Management System: responsible for the collection of field facility status, alarm management and equipment management; not responsible for operational schedules or dispatch decisions.</w:t>
      </w:r>
    </w:p>
    <w:p>
      <w:pPr>
        <w:spacing w:after="100" w:before="200"/>
      </w:pPr>
      <w:r>
        <w:rPr>
          <w:rFonts w:ascii="Times New Roman" w:eastAsia="標楷體"/>
          <w:b/>
          <w:bCs/>
          <w:sz w:val="24"/>
          <w:szCs w:val="24"/>
        </w:rPr>
        <w:t xml:space="preserve">自動駕駛系統與 V2X 系統 Autonomous Driving System and V2X System</w:t>
      </w:r>
    </w:p>
    <w:p>
      <w:pPr>
        <w:pStyle w:val="ListParagraph"/>
        <w:numPr>
          <w:ilvl w:val="0"/>
          <w:numId w:val="3"/>
        </w:numPr>
        <w:spacing w:after="100" w:line="320"/>
      </w:pPr>
      <w:r>
        <w:rPr>
          <w:rFonts w:ascii="Times New Roman" w:eastAsia="標楷體"/>
          <w:sz w:val="24"/>
          <w:szCs w:val="24"/>
        </w:rPr>
        <w:t xml:space="preserve">車輛行車管理（含車輛監控系統）：不直接介接自動駕駛系統與 V2X 系統；所需之車輛運行狀態、感知資訊及事件資訊，均經由車輛巡航管理系統（中心端）彙整後取得。</w:t>
      </w:r>
    </w:p>
    <w:p>
      <w:pPr>
        <w:spacing w:after="200" w:line="320"/>
      </w:pPr>
      <w:r>
        <w:rPr>
          <w:rFonts w:ascii="Times New Roman" w:eastAsia="標楷體"/>
          <w:sz w:val="22"/>
          <w:szCs w:val="22"/>
        </w:rPr>
        <w:t xml:space="preserve">Vehicle Traffic Management (incl. Vehicle Monitoring System): does not interface directly with the Autonomous Driving System or the V2X System. The required vehicle operating status, perception information and event information are obtained after aggregation by the Vehicle Cruise Management System (Center Side).</w:t>
      </w:r>
    </w:p>
    <w:p>
      <w:pPr>
        <w:spacing w:after="100" w:before="200"/>
      </w:pPr>
      <w:r>
        <w:rPr>
          <w:rFonts w:ascii="Times New Roman" w:eastAsia="標楷體"/>
          <w:b/>
          <w:bCs/>
          <w:sz w:val="24"/>
          <w:szCs w:val="24"/>
        </w:rPr>
        <w:t xml:space="preserve">設備／車輛維護管理系統 Equipment / Vehicle Maintenance Management System</w:t>
      </w:r>
    </w:p>
    <w:p>
      <w:pPr>
        <w:pStyle w:val="ListParagraph"/>
        <w:numPr>
          <w:ilvl w:val="0"/>
          <w:numId w:val="3"/>
        </w:numPr>
        <w:spacing w:after="100" w:line="320"/>
      </w:pPr>
      <w:r>
        <w:rPr>
          <w:rFonts w:ascii="Times New Roman" w:eastAsia="標楷體"/>
          <w:sz w:val="24"/>
          <w:szCs w:val="24"/>
        </w:rPr>
        <w:t xml:space="preserve">車輛行車管理（含車輛監控系統）：負責整備任務之設定及其於營運班表中之時段安排，不負責維修工作安排、維修記錄、維修文件管理及財產庫存管理。</w:t>
      </w:r>
    </w:p>
    <w:p>
      <w:pPr>
        <w:spacing w:after="200" w:line="320"/>
      </w:pPr>
      <w:r>
        <w:rPr>
          <w:rFonts w:ascii="Times New Roman" w:eastAsia="標楷體"/>
          <w:sz w:val="22"/>
          <w:szCs w:val="22"/>
        </w:rPr>
        <w:t xml:space="preserve">Vehicle Traffic Management (incl. Vehicle Monitoring System): responsible for the configuration of maintenance tasks and for arranging their time slots within the operational schedule; not responsible for maintenance work scheduling, maintenance records, maintenance document management or property inventory management.</w:t>
      </w:r>
    </w:p>
    <w:p>
      <w:pPr>
        <w:spacing w:after="100" w:before="200"/>
      </w:pPr>
      <w:r>
        <w:rPr>
          <w:rFonts w:ascii="Times New Roman" w:eastAsia="標楷體"/>
          <w:b/>
          <w:bCs/>
          <w:sz w:val="24"/>
          <w:szCs w:val="24"/>
        </w:rPr>
        <w:t xml:space="preserve">部署架構 Deployment Architecture</w:t>
      </w:r>
    </w:p>
    <w:p>
      <w:pPr>
        <w:spacing w:after="120" w:line="320"/>
      </w:pPr>
      <w:r>
        <w:rPr>
          <w:rFonts w:ascii="Times New Roman" w:eastAsia="標楷體"/>
          <w:sz w:val="24"/>
          <w:szCs w:val="24"/>
        </w:rPr>
        <w:t xml:space="preserve">部署於行控中心主機。</w:t>
      </w:r>
    </w:p>
    <w:p>
      <w:pPr>
        <w:spacing w:after="200" w:line="320"/>
      </w:pPr>
      <w:r>
        <w:rPr>
          <w:rFonts w:ascii="Times New Roman" w:eastAsia="標楷體"/>
          <w:sz w:val="22"/>
          <w:szCs w:val="22"/>
        </w:rPr>
        <w:t xml:space="preserve">Deployed on the operation control center host.</w:t>
      </w:r>
    </w:p>
    <w:p>
      <w:pPr>
        <w:spacing w:after="100" w:before="200"/>
      </w:pPr>
      <w:r>
        <w:rPr>
          <w:rFonts w:ascii="Times New Roman" w:eastAsia="標楷體"/>
          <w:b/>
          <w:bCs/>
          <w:sz w:val="24"/>
          <w:szCs w:val="24"/>
        </w:rPr>
        <w:t xml:space="preserve">軟體分層設計 Software Layered Design</w:t>
      </w:r>
    </w:p>
    <w:p>
      <w:pPr>
        <w:spacing w:after="120" w:line="320"/>
      </w:pPr>
      <w:r>
        <w:rPr>
          <w:rFonts w:ascii="Times New Roman" w:eastAsia="標楷體"/>
          <w:sz w:val="24"/>
          <w:szCs w:val="24"/>
        </w:rPr>
        <w:t xml:space="preserve">車輛行車管理（含車輛監控系統）軟體共分為四層，各層亦劃分不同功能模組，功能模組與其子功能職責細部說明請參閱第02584K章 車輛行車管理系統2.2.3說明。</w:t>
      </w:r>
    </w:p>
    <w:p>
      <w:pPr>
        <w:spacing w:after="200" w:line="320"/>
      </w:pPr>
      <w:r>
        <w:rPr>
          <w:rFonts w:ascii="Times New Roman" w:eastAsia="標楷體"/>
          <w:sz w:val="22"/>
          <w:szCs w:val="22"/>
        </w:rPr>
        <w:t xml:space="preserve">The software of the Vehicle Traffic Management System (incl. Vehicle Monitoring System) is divided into four layers, each further divided into functional modules. For detailed descriptions of the functional modules and the responsibilities of their sub-functions, please refer to Section 02584K, Vehicle Traffic Management System, Clause 2.2.3.</w:t>
      </w:r>
    </w:p>
    <w:p>
      <w:pPr>
        <w:pStyle w:val="ListParagraph"/>
        <w:numPr>
          <w:ilvl w:val="0"/>
          <w:numId w:val="3"/>
        </w:numPr>
        <w:spacing w:after="100" w:line="320"/>
      </w:pPr>
      <w:r>
        <w:rPr>
          <w:rFonts w:ascii="Times New Roman" w:eastAsia="標楷體"/>
          <w:sz w:val="24"/>
          <w:szCs w:val="24"/>
        </w:rPr>
        <w:t xml:space="preserve">營運核心層 Operation Core Layer</w:t>
      </w:r>
    </w:p>
    <w:p>
      <w:pPr>
        <w:pStyle w:val="ListParagraph"/>
        <w:numPr>
          <w:ilvl w:val="1"/>
          <w:numId w:val="3"/>
        </w:numPr>
        <w:spacing w:after="100" w:line="320"/>
      </w:pPr>
      <w:r>
        <w:rPr>
          <w:rFonts w:ascii="Times New Roman" w:eastAsia="標楷體"/>
          <w:sz w:val="24"/>
          <w:szCs w:val="24"/>
        </w:rPr>
        <w:t xml:space="preserve">數據監控模組 Data Monitoring Module</w:t>
      </w:r>
    </w:p>
    <w:p>
      <w:pPr>
        <w:pStyle w:val="ListParagraph"/>
        <w:numPr>
          <w:ilvl w:val="1"/>
          <w:numId w:val="3"/>
        </w:numPr>
        <w:spacing w:after="100" w:line="320"/>
      </w:pPr>
      <w:r>
        <w:rPr>
          <w:rFonts w:ascii="Times New Roman" w:eastAsia="標楷體"/>
          <w:sz w:val="24"/>
          <w:szCs w:val="24"/>
        </w:rPr>
        <w:t xml:space="preserve">營運管理模組 Operation Management Module</w:t>
      </w:r>
    </w:p>
    <w:p>
      <w:pPr>
        <w:pStyle w:val="ListParagraph"/>
        <w:numPr>
          <w:ilvl w:val="1"/>
          <w:numId w:val="3"/>
        </w:numPr>
        <w:spacing w:after="100" w:line="320"/>
      </w:pPr>
      <w:r>
        <w:rPr>
          <w:rFonts w:ascii="Times New Roman" w:eastAsia="標楷體"/>
          <w:sz w:val="24"/>
          <w:szCs w:val="24"/>
        </w:rPr>
        <w:t xml:space="preserve">班表管理模組 Schedule Management Module</w:t>
      </w:r>
    </w:p>
    <w:p>
      <w:pPr>
        <w:pStyle w:val="ListParagraph"/>
        <w:numPr>
          <w:ilvl w:val="1"/>
          <w:numId w:val="3"/>
        </w:numPr>
        <w:spacing w:after="100" w:line="320"/>
      </w:pPr>
      <w:r>
        <w:rPr>
          <w:rFonts w:ascii="Times New Roman" w:eastAsia="標楷體"/>
          <w:sz w:val="24"/>
          <w:szCs w:val="24"/>
        </w:rPr>
        <w:t xml:space="preserve">事件管理模組 Event Management Module</w:t>
      </w:r>
    </w:p>
    <w:p>
      <w:pPr>
        <w:pStyle w:val="ListParagraph"/>
        <w:numPr>
          <w:ilvl w:val="0"/>
          <w:numId w:val="3"/>
        </w:numPr>
        <w:spacing w:after="100" w:line="320"/>
      </w:pPr>
      <w:r>
        <w:rPr>
          <w:rFonts w:ascii="Times New Roman" w:eastAsia="標楷體"/>
          <w:sz w:val="24"/>
          <w:szCs w:val="24"/>
        </w:rPr>
        <w:t xml:space="preserve">資源配置層 Resource Config Layer</w:t>
      </w:r>
    </w:p>
    <w:p>
      <w:pPr>
        <w:pStyle w:val="ListParagraph"/>
        <w:numPr>
          <w:ilvl w:val="1"/>
          <w:numId w:val="3"/>
        </w:numPr>
        <w:spacing w:after="100" w:line="320"/>
      </w:pPr>
      <w:r>
        <w:rPr>
          <w:rFonts w:ascii="Times New Roman" w:eastAsia="標楷體"/>
          <w:sz w:val="24"/>
          <w:szCs w:val="24"/>
        </w:rPr>
        <w:t xml:space="preserve">載具管理模組 Vehicle Management Module</w:t>
      </w:r>
    </w:p>
    <w:p>
      <w:pPr>
        <w:pStyle w:val="ListParagraph"/>
        <w:numPr>
          <w:ilvl w:val="1"/>
          <w:numId w:val="3"/>
        </w:numPr>
        <w:spacing w:after="100" w:line="320"/>
      </w:pPr>
      <w:r>
        <w:rPr>
          <w:rFonts w:ascii="Times New Roman" w:eastAsia="標楷體"/>
          <w:sz w:val="24"/>
          <w:szCs w:val="24"/>
        </w:rPr>
        <w:t xml:space="preserve">場域管理模組 Field Management Module</w:t>
      </w:r>
    </w:p>
    <w:p>
      <w:pPr>
        <w:pStyle w:val="ListParagraph"/>
        <w:numPr>
          <w:ilvl w:val="1"/>
          <w:numId w:val="3"/>
        </w:numPr>
        <w:spacing w:after="100" w:line="320"/>
      </w:pPr>
      <w:r>
        <w:rPr>
          <w:rFonts w:ascii="Times New Roman" w:eastAsia="標楷體"/>
          <w:sz w:val="24"/>
          <w:szCs w:val="24"/>
        </w:rPr>
        <w:t xml:space="preserve">服務管理模組 Service Management Module</w:t>
      </w:r>
    </w:p>
    <w:p>
      <w:pPr>
        <w:pStyle w:val="ListParagraph"/>
        <w:numPr>
          <w:ilvl w:val="1"/>
          <w:numId w:val="3"/>
        </w:numPr>
        <w:spacing w:after="100" w:line="320"/>
      </w:pPr>
      <w:r>
        <w:rPr>
          <w:rFonts w:ascii="Times New Roman" w:eastAsia="標楷體"/>
          <w:sz w:val="24"/>
          <w:szCs w:val="24"/>
        </w:rPr>
        <w:t xml:space="preserve">媒體管理模組 Media Management Module</w:t>
      </w:r>
    </w:p>
    <w:p>
      <w:pPr>
        <w:pStyle w:val="ListParagraph"/>
        <w:numPr>
          <w:ilvl w:val="0"/>
          <w:numId w:val="3"/>
        </w:numPr>
        <w:spacing w:after="100" w:line="320"/>
      </w:pPr>
      <w:r>
        <w:rPr>
          <w:rFonts w:ascii="Times New Roman" w:eastAsia="標楷體"/>
          <w:sz w:val="24"/>
          <w:szCs w:val="24"/>
        </w:rPr>
        <w:t xml:space="preserve">資通訊安全層 Communication Security Layer</w:t>
      </w:r>
    </w:p>
    <w:p>
      <w:pPr>
        <w:pStyle w:val="ListParagraph"/>
        <w:numPr>
          <w:ilvl w:val="1"/>
          <w:numId w:val="3"/>
        </w:numPr>
        <w:spacing w:after="100" w:line="320"/>
      </w:pPr>
      <w:r>
        <w:rPr>
          <w:rFonts w:ascii="Times New Roman" w:eastAsia="標楷體"/>
          <w:sz w:val="24"/>
          <w:szCs w:val="24"/>
        </w:rPr>
        <w:t xml:space="preserve">資訊通訊模組 Access Management Module</w:t>
      </w:r>
    </w:p>
    <w:p>
      <w:pPr>
        <w:pStyle w:val="ListParagraph"/>
        <w:numPr>
          <w:ilvl w:val="0"/>
          <w:numId w:val="3"/>
        </w:numPr>
        <w:spacing w:after="100" w:line="320"/>
      </w:pPr>
      <w:r>
        <w:rPr>
          <w:rFonts w:ascii="Times New Roman" w:eastAsia="標楷體"/>
          <w:sz w:val="24"/>
          <w:szCs w:val="24"/>
        </w:rPr>
        <w:t xml:space="preserve">後勤管理層 Logistics Mangament Layer</w:t>
      </w:r>
    </w:p>
    <w:p>
      <w:pPr>
        <w:pStyle w:val="ListParagraph"/>
        <w:numPr>
          <w:ilvl w:val="1"/>
          <w:numId w:val="3"/>
        </w:numPr>
        <w:spacing w:after="100" w:line="320"/>
      </w:pPr>
      <w:r>
        <w:rPr>
          <w:rFonts w:ascii="Times New Roman" w:eastAsia="標楷體"/>
          <w:sz w:val="24"/>
          <w:szCs w:val="24"/>
        </w:rPr>
        <w:t xml:space="preserve">權限管理模組 Access Management Module</w:t>
      </w:r>
    </w:p>
    <w:p>
      <w:pPr>
        <w:pStyle w:val="ListParagraph"/>
        <w:numPr>
          <w:ilvl w:val="1"/>
          <w:numId w:val="3"/>
        </w:numPr>
        <w:spacing w:after="100" w:line="320"/>
      </w:pPr>
      <w:r>
        <w:rPr>
          <w:rFonts w:ascii="Times New Roman" w:eastAsia="標楷體"/>
          <w:sz w:val="24"/>
          <w:szCs w:val="24"/>
        </w:rPr>
        <w:t xml:space="preserve">日誌管理模組 Field Management Module</w:t>
      </w:r>
    </w:p>
    <w:p>
      <w:pPr>
        <w:pStyle w:val="ListParagraph"/>
        <w:numPr>
          <w:ilvl w:val="1"/>
          <w:numId w:val="3"/>
        </w:numPr>
        <w:spacing w:after="100" w:line="320"/>
      </w:pPr>
      <w:r>
        <w:rPr>
          <w:rFonts w:ascii="Times New Roman" w:eastAsia="標楷體"/>
          <w:sz w:val="24"/>
          <w:szCs w:val="24"/>
        </w:rPr>
        <w:t xml:space="preserve">系統基礎模組 System Foundation Module</w:t>
      </w:r>
    </w:p>
    <w:p>
      <w:pPr>
        <w:spacing w:after="100" w:before="200"/>
      </w:pPr>
      <w:r>
        <w:rPr>
          <w:rFonts w:ascii="Times New Roman" w:eastAsia="標楷體"/>
          <w:b/>
          <w:bCs/>
          <w:sz w:val="24"/>
          <w:szCs w:val="24"/>
        </w:rPr>
        <w:t xml:space="preserve">各子系統通訊架構與連接關係 Communication Architecture and Connection Relationships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600"/>
      </w:tblGrid>
      <w:tr>
        <w:tc>
          <w:tcPr>
            <w:tcW w:type="dxa" w:w="3600"/>
            <w:shd w:fill="D9D9D9" w:val="clear"/>
            <w:tcMar>
              <w:top w:type="dxa" w:w="80"/>
              <w:left w:type="dxa" w:w="120"/>
              <w:bottom w:type="dxa" w:w="80"/>
              <w:right w:type="dxa" w:w="120"/>
            </w:tcMar>
          </w:tcPr>
          <w:p>
            <w:r>
              <w:rPr>
                <w:rFonts w:ascii="Times New Roman" w:eastAsia="標楷體"/>
                <w:b/>
                <w:bCs/>
                <w:sz w:val="22"/>
                <w:szCs w:val="22"/>
              </w:rPr>
              <w:t xml:space="preserve">連線路徑 Connection Path</w:t>
            </w:r>
          </w:p>
        </w:tc>
        <w:tc>
          <w:tcPr>
            <w:tcW w:type="dxa" w:w="2400"/>
            <w:shd w:fill="D9D9D9" w:val="clear"/>
            <w:tcMar>
              <w:top w:type="dxa" w:w="80"/>
              <w:left w:type="dxa" w:w="120"/>
              <w:bottom w:type="dxa" w:w="80"/>
              <w:right w:type="dxa" w:w="120"/>
            </w:tcMar>
          </w:tcPr>
          <w:p>
            <w:r>
              <w:rPr>
                <w:rFonts w:ascii="Times New Roman" w:eastAsia="標楷體"/>
                <w:b/>
                <w:bCs/>
                <w:sz w:val="22"/>
                <w:szCs w:val="22"/>
              </w:rPr>
              <w:t xml:space="preserve">傳輸媒介 Medium</w:t>
            </w:r>
          </w:p>
        </w:tc>
        <w:tc>
          <w:tcPr>
            <w:tcW w:type="dxa" w:w="2600"/>
            <w:shd w:fill="D9D9D9" w:val="clear"/>
            <w:tcMar>
              <w:top w:type="dxa" w:w="80"/>
              <w:left w:type="dxa" w:w="120"/>
              <w:bottom w:type="dxa" w:w="80"/>
              <w:right w:type="dxa" w:w="120"/>
            </w:tcMar>
          </w:tcPr>
          <w:p>
            <w:r>
              <w:rPr>
                <w:rFonts w:ascii="Times New Roman" w:eastAsia="標楷體"/>
                <w:b/>
                <w:bCs/>
                <w:sz w:val="22"/>
                <w:szCs w:val="22"/>
              </w:rPr>
              <w:t xml:space="preserve">應用層協定 Application Protocol</w:t>
            </w:r>
          </w:p>
        </w:tc>
      </w:tr>
      <w:tr>
        <w:tc>
          <w:tcPr>
            <w:tcW w:type="dxa" w:w="3600"/>
            <w:tcMar>
              <w:top w:type="dxa" w:w="80"/>
              <w:left w:type="dxa" w:w="120"/>
              <w:bottom w:type="dxa" w:w="80"/>
              <w:right w:type="dxa" w:w="120"/>
            </w:tcMar>
          </w:tcPr>
          <w:p>
            <w:r>
              <w:rPr>
                <w:rFonts w:ascii="Times New Roman" w:eastAsia="標楷體"/>
                <w:b w:val="false"/>
                <w:bCs w:val="false"/>
                <w:sz w:val="22"/>
                <w:szCs w:val="22"/>
              </w:rPr>
              <w:t xml:space="preserve">車輛行車管理（含車輛監控系統）↔ 車輛巡航管理系統（中心端）</w:t>
            </w:r>
          </w:p>
        </w:tc>
        <w:tc>
          <w:tcPr>
            <w:tcW w:type="dxa" w:w="2400"/>
            <w:tcMar>
              <w:top w:type="dxa" w:w="80"/>
              <w:left w:type="dxa" w:w="120"/>
              <w:bottom w:type="dxa" w:w="80"/>
              <w:right w:type="dxa" w:w="120"/>
            </w:tcMar>
          </w:tcPr>
          <w:p>
            <w:r>
              <w:rPr>
                <w:rFonts w:ascii="Times New Roman" w:eastAsia="標楷體"/>
                <w:b w:val="false"/>
                <w:bCs w:val="false"/>
                <w:sz w:val="22"/>
                <w:szCs w:val="22"/>
              </w:rPr>
              <w:t xml:space="preserve">有線網路 Wired Network</w:t>
            </w:r>
          </w:p>
        </w:tc>
        <w:tc>
          <w:tcPr>
            <w:tcW w:type="dxa" w:w="2600"/>
            <w:tcMar>
              <w:top w:type="dxa" w:w="80"/>
              <w:left w:type="dxa" w:w="120"/>
              <w:bottom w:type="dxa" w:w="80"/>
              <w:right w:type="dxa" w:w="120"/>
            </w:tcMar>
          </w:tcPr>
          <w:p>
            <w:r>
              <w:rPr>
                <w:rFonts w:ascii="Times New Roman" w:eastAsia="標楷體"/>
                <w:b w:val="false"/>
                <w:bCs w:val="false"/>
                <w:sz w:val="22"/>
                <w:szCs w:val="22"/>
              </w:rPr>
              <w:t xml:space="preserve">API／MQTT</w:t>
            </w:r>
          </w:p>
        </w:tc>
      </w:tr>
      <w:tr>
        <w:tc>
          <w:tcPr>
            <w:tcW w:type="dxa" w:w="3600"/>
            <w:tcMar>
              <w:top w:type="dxa" w:w="80"/>
              <w:left w:type="dxa" w:w="120"/>
              <w:bottom w:type="dxa" w:w="80"/>
              <w:right w:type="dxa" w:w="120"/>
            </w:tcMar>
          </w:tcPr>
          <w:p>
            <w:r>
              <w:rPr>
                <w:rFonts w:ascii="Times New Roman" w:eastAsia="標楷體"/>
                <w:b w:val="false"/>
                <w:bCs w:val="false"/>
                <w:sz w:val="22"/>
                <w:szCs w:val="22"/>
              </w:rPr>
              <w:t xml:space="preserve">車輛行車管理（含車輛監控系統）↔ IOT SCADA 監控管理系統</w:t>
            </w:r>
          </w:p>
        </w:tc>
        <w:tc>
          <w:tcPr>
            <w:tcW w:type="dxa" w:w="2400"/>
            <w:tcMar>
              <w:top w:type="dxa" w:w="80"/>
              <w:left w:type="dxa" w:w="120"/>
              <w:bottom w:type="dxa" w:w="80"/>
              <w:right w:type="dxa" w:w="120"/>
            </w:tcMar>
          </w:tcPr>
          <w:p>
            <w:r>
              <w:rPr>
                <w:rFonts w:ascii="Times New Roman" w:eastAsia="標楷體"/>
                <w:b w:val="false"/>
                <w:bCs w:val="false"/>
                <w:sz w:val="22"/>
                <w:szCs w:val="22"/>
              </w:rPr>
              <w:t xml:space="preserve">有線網路 Wired Network</w:t>
            </w:r>
          </w:p>
        </w:tc>
        <w:tc>
          <w:tcPr>
            <w:tcW w:type="dxa" w:w="2600"/>
            <w:tcMar>
              <w:top w:type="dxa" w:w="80"/>
              <w:left w:type="dxa" w:w="120"/>
              <w:bottom w:type="dxa" w:w="80"/>
              <w:right w:type="dxa" w:w="120"/>
            </w:tcMar>
          </w:tcPr>
          <w:p>
            <w:r>
              <w:rPr>
                <w:rFonts w:ascii="Times New Roman" w:eastAsia="標楷體"/>
                <w:b w:val="false"/>
                <w:bCs w:val="false"/>
                <w:sz w:val="22"/>
                <w:szCs w:val="22"/>
              </w:rPr>
              <w:t xml:space="preserve">API</w:t>
            </w:r>
          </w:p>
        </w:tc>
      </w:tr>
      <w:tr>
        <w:tc>
          <w:tcPr>
            <w:tcW w:type="dxa" w:w="3600"/>
            <w:tcMar>
              <w:top w:type="dxa" w:w="80"/>
              <w:left w:type="dxa" w:w="120"/>
              <w:bottom w:type="dxa" w:w="80"/>
              <w:right w:type="dxa" w:w="120"/>
            </w:tcMar>
          </w:tcPr>
          <w:p>
            <w:r>
              <w:rPr>
                <w:rFonts w:ascii="Times New Roman" w:eastAsia="標楷體"/>
                <w:b w:val="false"/>
                <w:bCs w:val="false"/>
                <w:sz w:val="22"/>
                <w:szCs w:val="22"/>
              </w:rPr>
              <w:t xml:space="preserve">車輛行車管理（含車輛監控系統）↔ 操作工作站 Operator Workstation</w:t>
            </w:r>
          </w:p>
        </w:tc>
        <w:tc>
          <w:tcPr>
            <w:tcW w:type="dxa" w:w="2400"/>
            <w:tcMar>
              <w:top w:type="dxa" w:w="80"/>
              <w:left w:type="dxa" w:w="120"/>
              <w:bottom w:type="dxa" w:w="80"/>
              <w:right w:type="dxa" w:w="120"/>
            </w:tcMar>
          </w:tcPr>
          <w:p>
            <w:r>
              <w:rPr>
                <w:rFonts w:ascii="Times New Roman" w:eastAsia="標楷體"/>
                <w:b w:val="false"/>
                <w:bCs w:val="false"/>
                <w:sz w:val="22"/>
                <w:szCs w:val="22"/>
              </w:rPr>
              <w:t xml:space="preserve">有線網路 Wired Network</w:t>
            </w:r>
          </w:p>
        </w:tc>
        <w:tc>
          <w:tcPr>
            <w:tcW w:type="dxa" w:w="2600"/>
            <w:tcMar>
              <w:top w:type="dxa" w:w="80"/>
              <w:left w:type="dxa" w:w="120"/>
              <w:bottom w:type="dxa" w:w="80"/>
              <w:right w:type="dxa" w:w="120"/>
            </w:tcMar>
          </w:tcPr>
          <w:p>
            <w:r>
              <w:rPr>
                <w:rFonts w:ascii="Times New Roman" w:eastAsia="標楷體"/>
                <w:b w:val="false"/>
                <w:bCs w:val="false"/>
                <w:sz w:val="22"/>
                <w:szCs w:val="22"/>
              </w:rPr>
              <w:t xml:space="preserve">HTTPS／Socket.IO</w:t>
            </w:r>
          </w:p>
        </w:tc>
      </w:tr>
    </w:tbl>
    <w:p>
      <w:pPr>
        <w:spacing w:after="100" w:before="200"/>
      </w:pPr>
      <w:r>
        <w:rPr>
          <w:rFonts w:ascii="Times New Roman" w:eastAsia="標楷體"/>
          <w:b/>
          <w:bCs/>
          <w:sz w:val="24"/>
          <w:szCs w:val="24"/>
        </w:rPr>
        <w:t xml:space="preserve">系統架構圖 System Architecture Diagram</w:t>
      </w:r>
    </w:p>
    <w:p>
      <w:pPr>
        <w:spacing w:after="120" w:line="320"/>
      </w:pPr>
      <w:r>
        <w:rPr>
          <w:rFonts w:ascii="Times New Roman" w:eastAsia="標楷體"/>
          <w:sz w:val="24"/>
          <w:szCs w:val="24"/>
        </w:rPr>
        <w:t xml:space="preserve">（待補：中英文圖說並列）</w:t>
      </w:r>
    </w:p>
    <w:p>
      <w:pPr>
        <w:spacing w:after="200" w:line="320"/>
      </w:pPr>
      <w:r>
        <w:rPr>
          <w:rFonts w:ascii="Times New Roman" w:eastAsia="標楷體"/>
          <w:sz w:val="22"/>
          <w:szCs w:val="22"/>
        </w:rPr>
        <w:t xml:space="preserve">(To be supplemented: with bilingual figure captions)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360"/>
      </w:pPr>
    </w:lvl>
  </w:abstractNum>
  <w:abstractNum w:abstractNumId="3" w15:restartNumberingAfterBreak="0">
    <w:multiLevelType w:val="hybridMultilevel"/>
    <w:lvl w:ilvl="0" w15:tentative="1">
      <w:start w:val="1"/>
      <w:numFmt w:val="bullet"/>
      <w:lvlText w:val="●"/>
      <w:lvlJc w:val="start"/>
      <w:pPr>
        <w:ind w:left="480" w:hanging="240"/>
      </w:pPr>
    </w:lvl>
    <w:lvl w:ilvl="1" w15:tentative="1">
      <w:start w:val="1"/>
      <w:numFmt w:val="bullet"/>
      <w:lvlText w:val="○"/>
      <w:lvlJc w:val="start"/>
      <w:pPr>
        <w:ind w:left="9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2026-08-23T04:05:25.109Z</dcterms:created>
  <dcterms:modified xsi:type="dcterms:W3CDTF">2026-08-23T04:05:25.110Z</dcterms:modified>
</cp:coreProperties>
</file>

<file path=docProps/custom.xml><?xml version="1.0" encoding="utf-8"?>
<Properties xmlns="http://schemas.openxmlformats.org/officeDocument/2006/custom-properties" xmlns:vt="http://schemas.openxmlformats.org/officeDocument/2006/docPropsVTypes"/>
</file>