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"/>
        <w:spacing w:lineRule="atLeast" w:line="0"/>
        <w:ind w:end="0"/>
        <w:rPr>
          <w:rFonts w:ascii="Arial" w:hAnsi="Arial" w:cs="Arial"/>
          <w:b/>
          <w:sz w:val="20"/>
        </w:rPr>
      </w:pPr>
      <w:r>
        <w:rPr>
          <w:rFonts w:cs="Arial" w:ascii="Arial" w:hAnsi="Arial"/>
          <w:b/>
          <w:sz w:val="20"/>
        </w:rPr>
      </w:r>
    </w:p>
    <w:p>
      <w:pPr>
        <w:pStyle w:val="NORMA"/>
        <w:spacing w:lineRule="atLeast" w:line="0"/>
        <w:ind w:end="0"/>
        <w:jc w:val="both"/>
        <w:rPr>
          <w:rFonts w:ascii="Arial" w:hAnsi="Arial" w:cs="Arial"/>
          <w:b/>
          <w:sz w:val="20"/>
        </w:rPr>
      </w:pPr>
      <w:r>
        <w:rPr>
          <w:rFonts w:cs="Arial" w:ascii="Arial" w:hAnsi="Arial"/>
          <w:b/>
          <w:sz w:val="20"/>
        </w:rPr>
      </w:r>
    </w:p>
    <w:p>
      <w:pPr>
        <w:pStyle w:val="PargrafodaLista"/>
        <w:spacing w:lineRule="auto" w:line="276"/>
        <w:ind w:start="142" w:end="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  <w:t>SUMÁRIO</w:t>
      </w:r>
    </w:p>
    <w:p>
      <w:pPr>
        <w:pStyle w:val="Normal"/>
        <w:tabs>
          <w:tab w:val="clear" w:pos="708"/>
          <w:tab w:val="left" w:pos="360" w:leader="none"/>
        </w:tabs>
        <w:spacing w:lineRule="auto" w:line="276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276"/>
        <w:jc w:val="both"/>
        <w:rPr>
          <w:b/>
          <w:bCs/>
        </w:rPr>
      </w:pPr>
      <w:r>
        <w:rPr>
          <w:rFonts w:eastAsia="Arial" w:cs="Arial" w:ascii="Arial" w:hAnsi="Arial"/>
          <w:b/>
          <w:bCs/>
        </w:rPr>
        <w:t>1. OBJETIVO</w:t>
      </w:r>
    </w:p>
    <w:p>
      <w:pPr>
        <w:pStyle w:val="Normal"/>
        <w:spacing w:lineRule="auto" w:line="276"/>
        <w:jc w:val="both"/>
        <w:rPr>
          <w:b/>
          <w:bCs/>
        </w:rPr>
      </w:pPr>
      <w:r>
        <w:rPr>
          <w:rFonts w:eastAsia="Arial" w:cs="Arial" w:ascii="Arial" w:hAnsi="Arial"/>
          <w:b/>
          <w:bCs/>
        </w:rPr>
        <w:t>2. DEFINIÇÕES</w:t>
      </w:r>
    </w:p>
    <w:p>
      <w:pPr>
        <w:pStyle w:val="Normal"/>
        <w:spacing w:lineRule="auto" w:line="276"/>
        <w:jc w:val="both"/>
        <w:rPr>
          <w:b/>
          <w:bCs/>
        </w:rPr>
      </w:pPr>
      <w:r>
        <w:rPr>
          <w:rFonts w:eastAsia="Arial" w:cs="Arial" w:ascii="Arial" w:hAnsi="Arial"/>
          <w:b/>
          <w:bCs/>
        </w:rPr>
        <w:t>3. SIGLAS E ABREVIATURAS</w:t>
      </w:r>
    </w:p>
    <w:p>
      <w:pPr>
        <w:pStyle w:val="Normal"/>
        <w:spacing w:lineRule="auto" w:line="276"/>
        <w:jc w:val="both"/>
        <w:rPr>
          <w:b/>
          <w:bCs/>
        </w:rPr>
      </w:pPr>
      <w:r>
        <w:rPr>
          <w:rFonts w:eastAsia="Arial" w:cs="Arial" w:ascii="Arial" w:hAnsi="Arial"/>
          <w:b/>
          <w:bCs/>
        </w:rPr>
        <w:t>4. RESPONSABILIDADES</w:t>
      </w:r>
    </w:p>
    <w:p>
      <w:pPr>
        <w:pStyle w:val="Normal"/>
        <w:spacing w:lineRule="auto" w:line="276"/>
        <w:jc w:val="both"/>
        <w:rPr>
          <w:b/>
          <w:bCs/>
        </w:rPr>
      </w:pPr>
      <w:r>
        <w:rPr>
          <w:rFonts w:eastAsia="Arial" w:cs="Arial" w:ascii="Arial" w:hAnsi="Arial"/>
          <w:b/>
          <w:bCs/>
        </w:rPr>
        <w:t>5. DESCRIÇÃO DO PROCEDIMENTO</w:t>
      </w:r>
    </w:p>
    <w:p>
      <w:pPr>
        <w:pStyle w:val="Normal"/>
        <w:spacing w:lineRule="auto" w:line="276"/>
        <w:jc w:val="both"/>
        <w:rPr>
          <w:b/>
          <w:bCs/>
        </w:rPr>
      </w:pPr>
      <w:r>
        <w:rPr>
          <w:rFonts w:eastAsia="Arial" w:cs="Arial" w:ascii="Arial" w:hAnsi="Arial"/>
          <w:b/>
          <w:bCs/>
        </w:rPr>
        <w:t>6. RELAÇÃO DE EQUIPAMENTOS CRÍTICOS</w:t>
      </w:r>
    </w:p>
    <w:p>
      <w:pPr>
        <w:pStyle w:val="Normal"/>
        <w:spacing w:lineRule="auto" w:line="276"/>
        <w:jc w:val="both"/>
        <w:rPr>
          <w:b/>
          <w:bCs/>
        </w:rPr>
      </w:pPr>
      <w:r>
        <w:rPr>
          <w:rFonts w:eastAsia="Arial" w:cs="Arial" w:ascii="Arial" w:hAnsi="Arial"/>
          <w:b/>
          <w:bCs/>
        </w:rPr>
        <w:t>7. PLANO DE MANUTENÇÃO PREVENTIVA E PREDITIVA</w:t>
      </w:r>
    </w:p>
    <w:p>
      <w:pPr>
        <w:pStyle w:val="Normal"/>
        <w:spacing w:lineRule="auto" w:line="276"/>
        <w:jc w:val="both"/>
        <w:rPr>
          <w:b/>
          <w:bCs/>
        </w:rPr>
      </w:pPr>
      <w:r>
        <w:rPr>
          <w:rFonts w:eastAsia="Arial" w:cs="Arial" w:ascii="Arial" w:hAnsi="Arial"/>
          <w:b/>
          <w:bCs/>
        </w:rPr>
        <w:t>8. DOCUMENTOS / FORMULÁRIOS E REGISTROS</w:t>
      </w:r>
    </w:p>
    <w:p>
      <w:pPr>
        <w:pStyle w:val="Normal"/>
        <w:spacing w:lineRule="auto" w:line="276"/>
        <w:jc w:val="both"/>
        <w:rPr>
          <w:b/>
          <w:bCs/>
        </w:rPr>
      </w:pPr>
      <w:r>
        <w:rPr>
          <w:rFonts w:eastAsia="Arial" w:cs="Arial" w:ascii="Arial" w:hAnsi="Arial"/>
          <w:b/>
          <w:bCs/>
        </w:rPr>
        <w:t>9. INDICADORES E METAS (KPIs)</w:t>
      </w:r>
    </w:p>
    <w:p>
      <w:pPr>
        <w:pStyle w:val="Normal"/>
        <w:spacing w:lineRule="auto" w:line="276"/>
        <w:jc w:val="both"/>
        <w:rPr>
          <w:b/>
          <w:bCs/>
        </w:rPr>
      </w:pPr>
      <w:r>
        <w:rPr>
          <w:rFonts w:eastAsia="Arial" w:cs="Arial" w:ascii="Arial" w:hAnsi="Arial"/>
          <w:b/>
          <w:bCs/>
        </w:rPr>
        <w:t>10. TREINAMENTO PARA MANUTENÇÃO E OPERAÇÃO</w:t>
      </w:r>
    </w:p>
    <w:p>
      <w:pPr>
        <w:pStyle w:val="Normal"/>
        <w:spacing w:lineRule="auto" w:line="276"/>
        <w:jc w:val="both"/>
        <w:rPr>
          <w:b/>
          <w:bCs/>
        </w:rPr>
      </w:pPr>
      <w:r>
        <w:rPr>
          <w:rFonts w:eastAsia="Arial" w:cs="Arial" w:ascii="Arial" w:hAnsi="Arial"/>
          <w:b/>
          <w:bCs/>
        </w:rPr>
        <w:t>11. CONSENSO E APROVAÇÃO</w:t>
      </w:r>
    </w:p>
    <w:p>
      <w:pPr>
        <w:pStyle w:val="Normal"/>
        <w:spacing w:lineRule="auto" w:line="276"/>
        <w:jc w:val="both"/>
        <w:rPr>
          <w:b/>
          <w:bCs/>
        </w:rPr>
      </w:pPr>
      <w:r>
        <w:rPr>
          <w:rFonts w:eastAsia="Arial" w:cs="Arial" w:ascii="Arial" w:hAnsi="Arial"/>
          <w:b/>
          <w:bCs/>
        </w:rPr>
        <w:t>12. HISTÓRICO DE ALTERAÇÕES</w:t>
      </w:r>
    </w:p>
    <w:p>
      <w:pPr>
        <w:pStyle w:val="Normal"/>
        <w:tabs>
          <w:tab w:val="clear" w:pos="708"/>
          <w:tab w:val="left" w:pos="360" w:leader="none"/>
        </w:tabs>
        <w:spacing w:lineRule="auto" w:line="276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>
          <w:rFonts w:ascii="Arial" w:hAnsi="Arial" w:cs="Arial"/>
          <w:b/>
          <w:color w:val="0F1115"/>
          <w:lang w:eastAsia="pt-BR"/>
        </w:rPr>
      </w:pPr>
      <w:r>
        <w:rPr>
          <w:rFonts w:cs="Arial" w:ascii="Arial" w:hAnsi="Arial"/>
          <w:b/>
          <w:color w:val="0F1115"/>
          <w:lang w:eastAsia="pt-BR"/>
        </w:rPr>
      </w:r>
    </w:p>
    <w:p>
      <w:pPr>
        <w:pStyle w:val="Normal"/>
        <w:shd w:fill="FFFFFF" w:val="clear"/>
        <w:spacing w:lineRule="atLeast" w:line="0" w:before="4" w:after="4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  <w:t>1. OBJETIVO</w:t>
      </w:r>
    </w:p>
    <w:p>
      <w:pPr>
        <w:pStyle w:val="Normal"/>
        <w:shd w:fill="FFFFFF" w:val="clear"/>
        <w:spacing w:lineRule="atLeast" w:line="0" w:before="4" w:after="4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"/>
        <w:shd w:fill="FFFFFF" w:val="clear"/>
        <w:spacing w:lineRule="atLeast" w:line="0" w:before="4" w:after="4"/>
        <w:jc w:val="both"/>
        <w:rPr>
          <w:rFonts w:ascii="Arial" w:hAnsi="Arial" w:cs="Arial"/>
          <w:lang w:eastAsia="pt-BR"/>
        </w:rPr>
      </w:pPr>
      <w:r>
        <w:rPr>
          <w:rFonts w:eastAsia="Arial" w:cs="Arial" w:ascii="Arial" w:hAnsi="Arial"/>
          <w:lang w:eastAsia="pt-BR"/>
        </w:rPr>
        <w:t xml:space="preserve">      </w:t>
      </w:r>
      <w:r>
        <w:rPr>
          <w:rFonts w:cs="Arial" w:ascii="Arial" w:hAnsi="Arial"/>
          <w:lang w:eastAsia="pt-BR"/>
        </w:rPr>
        <w:t xml:space="preserve">Estabelecer a sistemática para a gestão e execução das manutenções preventivas, preditivas e corretivas em máquinas e equipamentos dos </w:t>
      </w:r>
      <w:r>
        <w:rPr>
          <w:rFonts w:cs="Arial" w:ascii="Arial" w:hAnsi="Arial"/>
          <w:b/>
          <w:bCs/>
          <w:lang w:eastAsia="pt-BR"/>
        </w:rPr>
        <w:t>Empurradores</w:t>
      </w:r>
      <w:r>
        <w:rPr>
          <w:rFonts w:cs="Arial" w:ascii="Arial" w:hAnsi="Arial"/>
          <w:lang w:eastAsia="pt-BR"/>
        </w:rPr>
        <w:t xml:space="preserve"> da Transportadora Navegação Cunha Ltda.</w:t>
      </w:r>
    </w:p>
    <w:p>
      <w:pPr>
        <w:pStyle w:val="Normal"/>
        <w:shd w:fill="FFFFFF" w:val="clear"/>
        <w:spacing w:lineRule="atLeast" w:line="0" w:before="4" w:after="4"/>
        <w:jc w:val="both"/>
        <w:rPr>
          <w:rFonts w:ascii="Arial" w:hAnsi="Arial" w:cs="Arial"/>
          <w:lang w:eastAsia="pt-BR"/>
        </w:rPr>
      </w:pPr>
      <w:r>
        <w:rPr>
          <w:rFonts w:cs="Arial" w:ascii="Arial" w:hAnsi="Arial"/>
          <w:lang w:eastAsia="pt-BR"/>
        </w:rPr>
      </w:r>
    </w:p>
    <w:p>
      <w:pPr>
        <w:pStyle w:val="Normal"/>
        <w:shd w:fill="FFFFFF" w:val="clear"/>
        <w:spacing w:lineRule="atLeast" w:line="0" w:before="4" w:after="4"/>
        <w:jc w:val="both"/>
        <w:rPr>
          <w:rFonts w:ascii="Arial" w:hAnsi="Arial" w:cs="Arial"/>
          <w:lang w:eastAsia="pt-BR"/>
        </w:rPr>
      </w:pPr>
      <w:r>
        <w:rPr>
          <w:rFonts w:eastAsia="Arial" w:cs="Arial" w:ascii="Arial" w:hAnsi="Arial"/>
          <w:lang w:eastAsia="pt-BR"/>
        </w:rPr>
        <w:t xml:space="preserve">      </w:t>
      </w:r>
      <w:r>
        <w:rPr>
          <w:rFonts w:cs="Arial" w:ascii="Arial" w:hAnsi="Arial"/>
          <w:lang w:eastAsia="pt-BR"/>
        </w:rPr>
        <w:t>Este plano visa garantir a confiabilidade técnica, a continuidade operacional e a integridade dos ativos considerados críticos para a Qualidade e para a preservação do Meio Ambiente, assegurando que os processos de transporte fluvial ocorram sob rigorosos padrões de segurança e eficiência.</w:t>
      </w:r>
    </w:p>
    <w:p>
      <w:pPr>
        <w:pStyle w:val="Normal"/>
        <w:shd w:fill="FFFFFF" w:val="clear"/>
        <w:spacing w:lineRule="atLeast" w:line="0" w:before="4" w:after="4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"/>
        <w:shd w:fill="FFFFFF" w:val="clear"/>
        <w:spacing w:lineRule="atLeast" w:line="0" w:before="4" w:after="4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  <w:t>2. DEFINIÇÕES</w:t>
      </w:r>
    </w:p>
    <w:p>
      <w:pPr>
        <w:pStyle w:val="Normal"/>
        <w:shd w:fill="FFFFFF" w:val="clear"/>
        <w:spacing w:lineRule="atLeast" w:line="0" w:before="4" w:after="4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"/>
        <w:numPr>
          <w:ilvl w:val="0"/>
          <w:numId w:val="14"/>
        </w:numPr>
        <w:shd w:fill="FFFFFF" w:val="clear"/>
        <w:suppressAutoHyphens w:val="false"/>
        <w:spacing w:lineRule="atLeast" w:line="0" w:before="4" w:after="4"/>
        <w:jc w:val="both"/>
        <w:rPr>
          <w:rFonts w:ascii="Arial" w:hAnsi="Arial" w:cs="Arial"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  <w:t>Manutenção Preventiva:</w:t>
      </w:r>
      <w:r>
        <w:rPr>
          <w:rFonts w:cs="Arial" w:ascii="Arial" w:hAnsi="Arial"/>
          <w:color w:val="0F1115"/>
          <w:lang w:eastAsia="pt-BR"/>
        </w:rPr>
        <w:t> Conjunto de ações programadas com base em horas de funcionamento ou tempo calendário, destinadas a reduzir a probabilidade de falha.</w:t>
      </w:r>
    </w:p>
    <w:p>
      <w:pPr>
        <w:pStyle w:val="Normal"/>
        <w:numPr>
          <w:ilvl w:val="0"/>
          <w:numId w:val="14"/>
        </w:numPr>
        <w:shd w:fill="FFFFFF" w:val="clear"/>
        <w:suppressAutoHyphens w:val="false"/>
        <w:spacing w:lineRule="atLeast" w:line="0" w:before="4" w:after="4"/>
        <w:jc w:val="both"/>
        <w:rPr>
          <w:rFonts w:ascii="Arial" w:hAnsi="Arial" w:cs="Arial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  <w:t>Manutenção Corretiva:</w:t>
      </w:r>
      <w:r>
        <w:rPr>
          <w:rFonts w:cs="Arial" w:ascii="Arial" w:hAnsi="Arial"/>
          <w:color w:val="0F1115"/>
          <w:lang w:eastAsia="pt-BR"/>
        </w:rPr>
        <w:t xml:space="preserve"> Ação realizada após a ocorrência de falha ou irregularidade, visando </w:t>
      </w:r>
      <w:r>
        <w:rPr>
          <w:rFonts w:cs="Arial" w:ascii="Arial" w:hAnsi="Arial"/>
          <w:lang w:eastAsia="pt-BR"/>
        </w:rPr>
        <w:t>restabelecer a função requerida.</w:t>
      </w:r>
    </w:p>
    <w:p>
      <w:pPr>
        <w:pStyle w:val="Normal"/>
        <w:numPr>
          <w:ilvl w:val="0"/>
          <w:numId w:val="14"/>
        </w:numPr>
        <w:spacing w:lineRule="auto" w:line="276" w:before="0" w:after="7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Manutenção Preditiva:</w:t>
      </w:r>
      <w:r>
        <w:rPr>
          <w:rFonts w:eastAsia="Arial" w:cs="Arial" w:ascii="Arial" w:hAnsi="Arial"/>
        </w:rPr>
        <w:t xml:space="preserve"> monitoramento da condição dos equipamentos para antecipar falhas e definir o momento da intervenção. Na Navegação Cunha, compreende o teste de compressão dos MCPs a cada 1.000 h, feito junto com a calibração dos bicos injetores; a análise de óleo semestral em regime de rodízio, priorizada pelo resultado desse teste; e a análise trimestral da tendência de parâmetros dos MCPs (Anexo I).</w:t>
      </w:r>
    </w:p>
    <w:p>
      <w:pPr>
        <w:pStyle w:val="Normal"/>
        <w:numPr>
          <w:ilvl w:val="0"/>
          <w:numId w:val="14"/>
        </w:numPr>
        <w:shd w:fill="FFFFFF" w:val="clear"/>
        <w:suppressAutoHyphens w:val="false"/>
        <w:spacing w:lineRule="atLeast" w:line="0"/>
        <w:jc w:val="both"/>
        <w:rPr>
          <w:rFonts w:ascii="Arial" w:hAnsi="Arial" w:cs="Arial"/>
          <w:color w:val="0F1115"/>
        </w:rPr>
      </w:pPr>
      <w:r>
        <w:rPr>
          <w:rStyle w:val="Strong"/>
          <w:rFonts w:cs="Arial" w:ascii="Arial" w:hAnsi="Arial"/>
          <w:shd w:fill="FFFFFF" w:val="clear"/>
        </w:rPr>
        <w:t>RNC:</w:t>
      </w:r>
      <w:r>
        <w:rPr>
          <w:rFonts w:cs="Arial" w:ascii="Arial" w:hAnsi="Arial"/>
          <w:shd w:fill="FFFFFF" w:val="clear"/>
        </w:rPr>
        <w:t> Relatório de Não Conformidade – documento obrigatório para falhas classificadas como Crítica ou Alta, ou quando a análise da OM indicar falha no sistema de gestão, destinado a registrar a análise de causa raiz e as ações corretivas.</w:t>
      </w:r>
    </w:p>
    <w:p>
      <w:pPr>
        <w:pStyle w:val="Normal"/>
        <w:numPr>
          <w:ilvl w:val="0"/>
          <w:numId w:val="14"/>
        </w:numPr>
        <w:spacing w:lineRule="auto" w:line="276" w:before="0" w:after="6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Falha:</w:t>
      </w:r>
      <w:r>
        <w:rPr>
          <w:rFonts w:eastAsia="Arial" w:cs="Arial" w:ascii="Arial" w:hAnsi="Arial"/>
          <w:sz w:val="22"/>
          <w:szCs w:val="22"/>
        </w:rPr>
        <w:t xml:space="preserve"> OM corretiva classificada como Crítica ou Alta (item 5.5.1).</w:t>
      </w:r>
    </w:p>
    <w:p>
      <w:pPr>
        <w:pStyle w:val="Normal"/>
        <w:numPr>
          <w:ilvl w:val="0"/>
          <w:numId w:val="14"/>
        </w:numPr>
        <w:spacing w:lineRule="auto" w:line="276" w:before="0" w:after="6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MTBF (tempo médio entre falhas):</w:t>
      </w:r>
      <w:r>
        <w:rPr>
          <w:rFonts w:eastAsia="Arial" w:cs="Arial" w:ascii="Arial" w:hAnsi="Arial"/>
          <w:sz w:val="22"/>
          <w:szCs w:val="22"/>
        </w:rPr>
        <w:t xml:space="preserve"> horas de operação divididas pelo número de falhas no período.</w:t>
      </w:r>
    </w:p>
    <w:p>
      <w:pPr>
        <w:pStyle w:val="Normal"/>
        <w:numPr>
          <w:ilvl w:val="0"/>
          <w:numId w:val="14"/>
        </w:numPr>
        <w:spacing w:lineRule="auto" w:line="276" w:before="0" w:after="6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MTTR (tempo médio de reparo):</w:t>
      </w:r>
      <w:r>
        <w:rPr>
          <w:rFonts w:eastAsia="Arial" w:cs="Arial" w:ascii="Arial" w:hAnsi="Arial"/>
          <w:sz w:val="22"/>
          <w:szCs w:val="22"/>
        </w:rPr>
        <w:t xml:space="preserve"> tempo médio entre a abertura da OM de uma falha e a liberação do equipamento.</w:t>
      </w:r>
    </w:p>
    <w:p>
      <w:pPr>
        <w:pStyle w:val="Normal"/>
        <w:numPr>
          <w:ilvl w:val="0"/>
          <w:numId w:val="14"/>
        </w:numPr>
        <w:spacing w:lineRule="auto" w:line="276" w:before="0" w:after="6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Disponibilidade:</w:t>
      </w:r>
      <w:r>
        <w:rPr>
          <w:rFonts w:eastAsia="Arial" w:cs="Arial" w:ascii="Arial" w:hAnsi="Arial"/>
          <w:sz w:val="22"/>
          <w:szCs w:val="22"/>
        </w:rPr>
        <w:t xml:space="preserve"> percentual do tempo em que a frota esteve apta a operar, descontadas as indisponibilidades por manutenção.</w:t>
      </w:r>
    </w:p>
    <w:p>
      <w:pPr>
        <w:pStyle w:val="Normal"/>
        <w:numPr>
          <w:ilvl w:val="0"/>
          <w:numId w:val="14"/>
        </w:numPr>
        <w:shd w:fill="FFFFFF" w:val="clear"/>
        <w:suppressAutoHyphens w:val="false"/>
        <w:spacing w:lineRule="atLeast" w:line="0" w:before="4" w:after="4"/>
        <w:rPr>
          <w:rFonts w:ascii="Arial" w:hAnsi="Arial" w:cs="Arial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  <w:t xml:space="preserve">Backlog (OM com início em atraso): </w:t>
      </w:r>
      <w:r>
        <w:rPr>
          <w:rFonts w:cs="Arial" w:ascii="Arial" w:hAnsi="Arial"/>
          <w:color w:val="0F1115"/>
          <w:lang w:eastAsia="pt-BR"/>
        </w:rPr>
        <w:t>Ordens de Manutenção cujo prazo de início, conforme a classificação de criticidade (item 5.5.1), venceu sem que a intervenção tenha sido iniciada.</w:t>
      </w:r>
    </w:p>
    <w:p>
      <w:pPr>
        <w:pStyle w:val="Normal"/>
        <w:numPr>
          <w:ilvl w:val="0"/>
          <w:numId w:val="14"/>
        </w:numPr>
        <w:shd w:fill="FFFFFF" w:val="clear"/>
        <w:suppressAutoHyphens w:val="false"/>
        <w:spacing w:lineRule="atLeast" w:line="0" w:before="4" w:after="4"/>
        <w:rPr>
          <w:rFonts w:ascii="Arial" w:hAnsi="Arial" w:cs="Arial"/>
          <w:lang w:eastAsia="pt-BR"/>
        </w:rPr>
      </w:pPr>
      <w:r>
        <w:rPr>
          <w:rFonts w:cs="Arial" w:ascii="Arial" w:hAnsi="Arial"/>
          <w:b/>
          <w:bCs/>
          <w:lang w:eastAsia="pt-BR"/>
        </w:rPr>
        <w:t>APR padrão de manutenção:</w:t>
      </w:r>
      <w:r>
        <w:rPr>
          <w:rFonts w:cs="Arial" w:ascii="Arial" w:hAnsi="Arial"/>
          <w:lang w:eastAsia="pt-BR"/>
        </w:rPr>
        <w:t xml:space="preserve"> análise preliminar de risco elaborada e aprovada pelo SESMT que identifica os perigos, as medidas de controle e os EPIs das manutenções de rotina do Anexo I. Dispensa a liberação individual do SESMT para essas atividades (item 5.11.1).</w:t>
      </w:r>
    </w:p>
    <w:p>
      <w:pPr>
        <w:pStyle w:val="Normal"/>
        <w:numPr>
          <w:ilvl w:val="0"/>
          <w:numId w:val="14"/>
        </w:numPr>
        <w:shd w:fill="FFFFFF" w:val="clear"/>
        <w:suppressAutoHyphens w:val="false"/>
        <w:spacing w:lineRule="atLeast" w:line="0" w:before="4" w:after="4"/>
        <w:rPr>
          <w:rFonts w:ascii="Arial" w:hAnsi="Arial" w:cs="Arial"/>
          <w:lang w:eastAsia="pt-BR"/>
        </w:rPr>
      </w:pPr>
      <w:r>
        <w:rPr>
          <w:rFonts w:cs="Arial" w:ascii="Arial" w:hAnsi="Arial"/>
          <w:b/>
          <w:bCs/>
          <w:lang w:eastAsia="pt-BR"/>
        </w:rPr>
        <w:t>Permissão de Trabalho (PT):</w:t>
      </w:r>
      <w:r>
        <w:rPr>
          <w:rFonts w:cs="Arial" w:ascii="Arial" w:hAnsi="Arial"/>
          <w:lang w:eastAsia="pt-BR"/>
        </w:rPr>
        <w:t xml:space="preserve"> autorização escrita emitida pelo SESMT para a execução de atividade de risco (item 5.11.2).</w:t>
      </w:r>
    </w:p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>
          <w:rFonts w:ascii="Arial" w:hAnsi="Arial" w:cs="Arial"/>
          <w:b/>
          <w:bCs/>
          <w:lang w:eastAsia="pt-BR"/>
        </w:rPr>
      </w:pPr>
      <w:r>
        <w:rPr>
          <w:rFonts w:cs="Arial" w:ascii="Arial" w:hAnsi="Arial"/>
          <w:b/>
          <w:bCs/>
          <w:lang w:eastAsia="pt-BR"/>
        </w:rPr>
      </w:r>
    </w:p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/>
      </w:pPr>
      <w:r>
        <w:rPr>
          <w:rFonts w:cs="Arial" w:ascii="Arial" w:hAnsi="Arial"/>
          <w:b/>
          <w:bCs/>
          <w:lang w:eastAsia="pt-BR"/>
        </w:rPr>
        <w:t>3. SIGLAS E ABREVIATURAS</w:t>
      </w:r>
    </w:p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>
          <w:rFonts w:ascii="Arial" w:hAnsi="Arial" w:cs="Arial"/>
          <w:b/>
          <w:bCs/>
          <w:lang w:eastAsia="pt-BR"/>
        </w:rPr>
      </w:pPr>
      <w:r>
        <w:rPr>
          <w:rFonts w:cs="Arial" w:ascii="Arial" w:hAnsi="Arial"/>
          <w:b/>
          <w:bCs/>
          <w:lang w:eastAsia="pt-BR"/>
        </w:rPr>
      </w:r>
    </w:p>
    <w:p>
      <w:pPr>
        <w:pStyle w:val="Normal"/>
        <w:numPr>
          <w:ilvl w:val="0"/>
          <w:numId w:val="8"/>
        </w:numPr>
        <w:shd w:fill="FFFFFF" w:val="clear"/>
        <w:spacing w:lineRule="atLeast" w:line="0" w:before="4" w:after="4"/>
        <w:jc w:val="both"/>
        <w:rPr>
          <w:rFonts w:ascii="Arial" w:hAnsi="Arial" w:cs="Arial"/>
        </w:rPr>
      </w:pPr>
      <w:r>
        <w:rPr>
          <w:rFonts w:eastAsia="Arial" w:cs="Arial" w:ascii="Arial" w:hAnsi="Arial"/>
        </w:rPr>
        <w:t>CTF – Condutor Maquinista Fluvial</w:t>
      </w:r>
    </w:p>
    <w:p>
      <w:pPr>
        <w:pStyle w:val="Normal"/>
        <w:numPr>
          <w:ilvl w:val="0"/>
          <w:numId w:val="8"/>
        </w:numPr>
        <w:shd w:fill="FFFFFF" w:val="clear"/>
        <w:spacing w:lineRule="atLeast" w:line="0" w:before="4" w:after="4"/>
        <w:jc w:val="both"/>
        <w:rPr>
          <w:rFonts w:ascii="Arial" w:hAnsi="Arial" w:cs="Arial"/>
        </w:rPr>
      </w:pPr>
      <w:r>
        <w:rPr>
          <w:rFonts w:cs="Arial" w:ascii="Arial" w:hAnsi="Arial"/>
        </w:rPr>
        <w:t>CFL – Capitão Fluvial</w:t>
      </w:r>
    </w:p>
    <w:p>
      <w:pPr>
        <w:pStyle w:val="ds-markdown-paragraph"/>
        <w:numPr>
          <w:ilvl w:val="0"/>
          <w:numId w:val="8"/>
        </w:numPr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MFM – Marinheiro Fluvial de Máquinas</w:t>
      </w:r>
    </w:p>
    <w:p>
      <w:pPr>
        <w:pStyle w:val="ds-markdown-paragraph"/>
        <w:numPr>
          <w:ilvl w:val="0"/>
          <w:numId w:val="8"/>
        </w:numPr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SGI – Sistema de Gestão Integrado</w:t>
      </w:r>
    </w:p>
    <w:p>
      <w:pPr>
        <w:pStyle w:val="ds-markdown-paragraph"/>
        <w:numPr>
          <w:ilvl w:val="0"/>
          <w:numId w:val="8"/>
        </w:numPr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RNC – Relatório de não conformidade</w:t>
      </w:r>
    </w:p>
    <w:p>
      <w:pPr>
        <w:pStyle w:val="ds-markdown-paragraph"/>
        <w:numPr>
          <w:ilvl w:val="0"/>
          <w:numId w:val="8"/>
        </w:numPr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APR – Análise Preliminar de Risco</w:t>
      </w:r>
    </w:p>
    <w:p>
      <w:pPr>
        <w:pStyle w:val="ds-markdown-paragraph"/>
        <w:numPr>
          <w:ilvl w:val="0"/>
          <w:numId w:val="8"/>
        </w:numPr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PT – Permissão de Trabalho</w:t>
      </w:r>
    </w:p>
    <w:p>
      <w:pPr>
        <w:pStyle w:val="ds-markdown-paragraph"/>
        <w:numPr>
          <w:ilvl w:val="0"/>
          <w:numId w:val="8"/>
        </w:numPr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OM – Ordem de Manutenção</w:t>
      </w:r>
    </w:p>
    <w:p>
      <w:pPr>
        <w:pStyle w:val="ds-markdown-paragraph"/>
        <w:numPr>
          <w:ilvl w:val="0"/>
          <w:numId w:val="8"/>
        </w:numPr>
        <w:shd w:fill="FFFFFF" w:val="clear"/>
        <w:spacing w:lineRule="atLeast" w:line="0" w:before="4" w:after="4"/>
        <w:rPr>
          <w:rFonts w:ascii="Arial" w:hAnsi="Arial" w:cs="Arial"/>
          <w:sz w:val="20"/>
          <w:szCs w:val="20"/>
          <w:lang w:val="en-US"/>
        </w:rPr>
      </w:pPr>
      <w:r>
        <w:rPr>
          <w:rFonts w:cs="Arial" w:ascii="Arial" w:hAnsi="Arial"/>
          <w:sz w:val="20"/>
          <w:szCs w:val="20"/>
          <w:lang w:val="en-US"/>
        </w:rPr>
        <w:t>MTBF - Mean Time Between Failures</w:t>
      </w:r>
    </w:p>
    <w:p>
      <w:pPr>
        <w:pStyle w:val="ds-markdown-paragraph"/>
        <w:numPr>
          <w:ilvl w:val="0"/>
          <w:numId w:val="8"/>
        </w:numPr>
        <w:shd w:fill="FFFFFF" w:val="clear"/>
        <w:spacing w:lineRule="atLeast" w:line="0" w:before="4" w:after="4"/>
        <w:rPr>
          <w:rFonts w:ascii="Arial" w:hAnsi="Arial" w:cs="Arial"/>
          <w:sz w:val="20"/>
          <w:szCs w:val="20"/>
          <w:lang w:val="en-US"/>
        </w:rPr>
      </w:pPr>
      <w:r>
        <w:rPr>
          <w:rFonts w:cs="Arial" w:ascii="Arial" w:hAnsi="Arial"/>
          <w:sz w:val="20"/>
          <w:szCs w:val="20"/>
          <w:lang w:val="en-US"/>
        </w:rPr>
        <w:t>MTTR - Mean Time To Repair</w:t>
      </w:r>
    </w:p>
    <w:p>
      <w:pPr>
        <w:pStyle w:val="ds-markdown-paragraph"/>
        <w:numPr>
          <w:ilvl w:val="0"/>
          <w:numId w:val="8"/>
        </w:numPr>
        <w:shd w:fill="FFFFFF" w:val="clear"/>
        <w:spacing w:lineRule="atLeast" w:line="0" w:before="4" w:after="4"/>
        <w:rPr>
          <w:rFonts w:ascii="Arial" w:hAnsi="Arial" w:cs="Arial"/>
          <w:sz w:val="20"/>
          <w:szCs w:val="20"/>
          <w:lang w:val="en-US"/>
        </w:rPr>
      </w:pPr>
      <w:r>
        <w:rPr>
          <w:rFonts w:cs="Arial" w:ascii="Arial" w:hAnsi="Arial"/>
          <w:sz w:val="20"/>
          <w:szCs w:val="20"/>
        </w:rPr>
        <w:t>MCA</w:t>
      </w:r>
      <w:r>
        <w:rPr>
          <w:rFonts w:cs="Arial" w:ascii="Arial" w:hAnsi="Arial"/>
          <w:spacing w:val="-12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–</w:t>
      </w:r>
      <w:r>
        <w:rPr>
          <w:rFonts w:cs="Arial" w:ascii="Arial" w:hAnsi="Arial"/>
          <w:spacing w:val="-1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Motor</w:t>
      </w:r>
      <w:r>
        <w:rPr>
          <w:rFonts w:cs="Arial" w:ascii="Arial" w:hAnsi="Arial"/>
          <w:spacing w:val="-1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a</w:t>
      </w:r>
      <w:r>
        <w:rPr>
          <w:rFonts w:cs="Arial" w:ascii="Arial" w:hAnsi="Arial"/>
          <w:spacing w:val="-3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Combustão</w:t>
      </w:r>
      <w:r>
        <w:rPr>
          <w:rFonts w:cs="Arial" w:ascii="Arial" w:hAnsi="Arial"/>
          <w:spacing w:val="-3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Auxiliar</w:t>
      </w:r>
    </w:p>
    <w:p>
      <w:pPr>
        <w:pStyle w:val="ds-markdown-paragraph"/>
        <w:numPr>
          <w:ilvl w:val="0"/>
          <w:numId w:val="8"/>
        </w:numPr>
        <w:shd w:fill="FFFFFF" w:val="clear"/>
        <w:spacing w:lineRule="atLeast" w:line="0" w:before="4" w:after="4"/>
        <w:rPr>
          <w:rFonts w:ascii="Arial" w:hAnsi="Arial" w:cs="Arial"/>
          <w:sz w:val="20"/>
          <w:szCs w:val="20"/>
          <w:lang w:val="en-US"/>
        </w:rPr>
      </w:pPr>
      <w:r>
        <w:rPr>
          <w:rFonts w:cs="Arial" w:ascii="Arial" w:hAnsi="Arial"/>
          <w:sz w:val="20"/>
          <w:szCs w:val="20"/>
        </w:rPr>
        <w:t>MCP</w:t>
      </w:r>
      <w:r>
        <w:rPr>
          <w:rFonts w:cs="Arial" w:ascii="Arial" w:hAnsi="Arial"/>
          <w:spacing w:val="-6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–</w:t>
      </w:r>
      <w:r>
        <w:rPr>
          <w:rFonts w:cs="Arial" w:ascii="Arial" w:hAnsi="Arial"/>
          <w:spacing w:val="-3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Motor</w:t>
      </w:r>
      <w:r>
        <w:rPr>
          <w:rFonts w:cs="Arial" w:ascii="Arial" w:hAnsi="Arial"/>
          <w:spacing w:val="-4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a</w:t>
      </w:r>
      <w:r>
        <w:rPr>
          <w:rFonts w:cs="Arial" w:ascii="Arial" w:hAnsi="Arial"/>
          <w:spacing w:val="-3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Combustão</w:t>
      </w:r>
      <w:r>
        <w:rPr>
          <w:rFonts w:cs="Arial" w:ascii="Arial" w:hAnsi="Arial"/>
          <w:spacing w:val="-3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Propulsor</w:t>
      </w:r>
    </w:p>
    <w:p>
      <w:pPr>
        <w:pStyle w:val="ds-markdown-paragraph"/>
        <w:numPr>
          <w:ilvl w:val="0"/>
          <w:numId w:val="8"/>
        </w:numPr>
        <w:shd w:fill="FFFFFF" w:val="clear"/>
        <w:spacing w:lineRule="atLeast" w:line="0" w:before="4" w:after="4"/>
        <w:rPr>
          <w:rFonts w:ascii="Arial" w:hAnsi="Arial" w:cs="Arial"/>
          <w:sz w:val="20"/>
          <w:szCs w:val="20"/>
          <w:lang w:val="en-US"/>
        </w:rPr>
      </w:pPr>
      <w:r>
        <w:rPr>
          <w:rFonts w:cs="Arial" w:ascii="Arial" w:hAnsi="Arial"/>
          <w:sz w:val="20"/>
          <w:szCs w:val="20"/>
        </w:rPr>
        <w:t>BB</w:t>
      </w:r>
      <w:r>
        <w:rPr>
          <w:rFonts w:cs="Arial" w:ascii="Arial" w:hAnsi="Arial"/>
          <w:spacing w:val="-3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–</w:t>
      </w:r>
      <w:r>
        <w:rPr>
          <w:rFonts w:cs="Arial" w:ascii="Arial" w:hAnsi="Arial"/>
          <w:spacing w:val="-3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Bombordo</w:t>
      </w:r>
    </w:p>
    <w:p>
      <w:pPr>
        <w:pStyle w:val="ds-markdown-paragraph"/>
        <w:numPr>
          <w:ilvl w:val="0"/>
          <w:numId w:val="8"/>
        </w:numPr>
        <w:shd w:fill="FFFFFF" w:val="clear"/>
        <w:spacing w:lineRule="atLeast" w:line="0" w:before="4" w:after="4"/>
        <w:rPr>
          <w:rFonts w:ascii="Arial" w:hAnsi="Arial" w:cs="Arial"/>
          <w:sz w:val="20"/>
          <w:szCs w:val="20"/>
          <w:lang w:val="en-US"/>
        </w:rPr>
      </w:pPr>
      <w:r>
        <w:rPr>
          <w:rFonts w:cs="Arial" w:ascii="Arial" w:hAnsi="Arial"/>
          <w:sz w:val="20"/>
          <w:szCs w:val="20"/>
        </w:rPr>
        <w:t>BE</w:t>
      </w:r>
      <w:r>
        <w:rPr>
          <w:rFonts w:cs="Arial" w:ascii="Arial" w:hAnsi="Arial"/>
          <w:b/>
          <w:spacing w:val="-2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–</w:t>
      </w:r>
      <w:r>
        <w:rPr>
          <w:rFonts w:cs="Arial" w:ascii="Arial" w:hAnsi="Arial"/>
          <w:spacing w:val="-2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Estibordo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  <w:lang w:val="en-US"/>
        </w:rPr>
      </w:pPr>
      <w:r>
        <w:rPr>
          <w:rFonts w:cs="Arial" w:ascii="Arial" w:hAnsi="Arial"/>
          <w:sz w:val="20"/>
          <w:szCs w:val="20"/>
          <w:lang w:val="en-US"/>
        </w:rPr>
      </w:r>
    </w:p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/>
      </w:pPr>
      <w:r>
        <w:rPr>
          <w:rFonts w:cs="Arial" w:ascii="Arial" w:hAnsi="Arial"/>
          <w:b/>
          <w:bCs/>
          <w:lang w:eastAsia="pt-BR"/>
        </w:rPr>
        <w:t>4. RESPONSABILIDADES</w:t>
      </w:r>
    </w:p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>
          <w:rFonts w:ascii="Arial" w:hAnsi="Arial" w:cs="Arial"/>
          <w:b/>
          <w:bCs/>
          <w:lang w:eastAsia="pt-BR"/>
        </w:rPr>
      </w:pPr>
      <w:r>
        <w:rPr>
          <w:rFonts w:cs="Arial" w:ascii="Arial" w:hAnsi="Arial"/>
          <w:b/>
          <w:bCs/>
          <w:lang w:eastAsia="pt-BR"/>
        </w:rPr>
      </w:r>
    </w:p>
    <w:p>
      <w:pPr>
        <w:pStyle w:val="Normal"/>
        <w:shd w:fill="FFFFFF" w:val="clear"/>
        <w:spacing w:lineRule="atLeast" w:line="0"/>
        <w:rPr/>
      </w:pPr>
      <w:r>
        <w:rPr>
          <w:rFonts w:cs="Arial" w:ascii="Arial" w:hAnsi="Arial"/>
          <w:b/>
          <w:bCs/>
          <w:lang w:eastAsia="pt-BR"/>
        </w:rPr>
        <w:t>4.1 Gerência Geral ou Diretoria</w:t>
      </w:r>
    </w:p>
    <w:p>
      <w:pPr>
        <w:pStyle w:val="Normal"/>
        <w:shd w:fill="FFFFFF" w:val="clear"/>
        <w:spacing w:lineRule="atLeast" w:line="0"/>
        <w:rPr>
          <w:rFonts w:ascii="Arial" w:hAnsi="Arial" w:cs="Arial"/>
          <w:b/>
          <w:bCs/>
          <w:lang w:eastAsia="pt-BR"/>
        </w:rPr>
      </w:pPr>
      <w:r>
        <w:rPr>
          <w:rFonts w:cs="Arial" w:ascii="Arial" w:hAnsi="Arial"/>
          <w:b/>
          <w:bCs/>
          <w:lang w:eastAsia="pt-BR"/>
        </w:rPr>
      </w:r>
    </w:p>
    <w:p>
      <w:pPr>
        <w:pStyle w:val="Normal"/>
        <w:spacing w:lineRule="auto" w:line="276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• Avaliar e autorizar a Solicitação e a Ordem de Compra no sistema SANKHYA para aquisição de materiais e serviços de manutenção preventiva, preditiva e corretiva.</w:t>
      </w:r>
    </w:p>
    <w:p>
      <w:pPr>
        <w:pStyle w:val="Normal"/>
        <w:shd w:fill="FFFFFF" w:val="clear"/>
        <w:suppressAutoHyphens w:val="false"/>
        <w:spacing w:lineRule="atLeast" w:line="0"/>
        <w:rPr/>
      </w:pPr>
      <w:r>
        <w:rPr>
          <w:rFonts w:cs="Arial" w:ascii="Arial" w:hAnsi="Arial"/>
          <w:b/>
          <w:bCs/>
          <w:lang w:eastAsia="pt-BR"/>
        </w:rPr>
        <w:t>•</w:t>
      </w:r>
      <w:r>
        <w:rPr>
          <w:rFonts w:eastAsia="Arial" w:cs="Arial" w:ascii="Arial" w:hAnsi="Arial"/>
          <w:b/>
          <w:bCs/>
          <w:lang w:eastAsia="pt-BR"/>
        </w:rPr>
        <w:t xml:space="preserve"> </w:t>
      </w:r>
      <w:r>
        <w:rPr>
          <w:rFonts w:cs="Arial" w:ascii="Arial" w:hAnsi="Arial"/>
          <w:lang w:eastAsia="pt-BR"/>
        </w:rPr>
        <w:t>Aprovar o plano de manutenções preventivas preditivas e corretivas.</w:t>
      </w:r>
    </w:p>
    <w:p>
      <w:pPr>
        <w:pStyle w:val="Normal"/>
        <w:shd w:fill="FFFFFF" w:val="clear"/>
        <w:spacing w:lineRule="atLeast" w:line="0" w:before="4" w:after="4"/>
        <w:rPr>
          <w:rFonts w:ascii="Arial" w:hAnsi="Arial" w:cs="Arial"/>
          <w:lang w:eastAsia="pt-BR"/>
        </w:rPr>
      </w:pPr>
      <w:r>
        <w:rPr>
          <w:rFonts w:cs="Arial" w:ascii="Arial" w:hAnsi="Arial"/>
          <w:lang w:eastAsia="pt-BR"/>
        </w:rPr>
      </w:r>
    </w:p>
    <w:p>
      <w:pPr>
        <w:pStyle w:val="Normal"/>
        <w:shd w:fill="FFFFFF" w:val="clear"/>
        <w:spacing w:lineRule="atLeast" w:line="0" w:before="4" w:after="4"/>
        <w:rPr/>
      </w:pPr>
      <w:r>
        <w:rPr>
          <w:rFonts w:cs="Arial" w:ascii="Arial" w:hAnsi="Arial"/>
          <w:b/>
          <w:bCs/>
          <w:lang w:eastAsia="pt-BR"/>
        </w:rPr>
        <w:t>4.2 Coordenador de Operações Aquaviárias</w:t>
      </w:r>
    </w:p>
    <w:p>
      <w:pPr>
        <w:pStyle w:val="Normal"/>
        <w:shd w:fill="FFFFFF" w:val="clear"/>
        <w:tabs>
          <w:tab w:val="clear" w:pos="708"/>
          <w:tab w:val="left" w:pos="5640" w:leader="none"/>
        </w:tabs>
        <w:spacing w:lineRule="atLeast" w:line="0" w:before="4" w:after="4"/>
        <w:jc w:val="both"/>
        <w:rPr>
          <w:rFonts w:ascii="Arial" w:hAnsi="Arial" w:cs="Arial"/>
          <w:b/>
          <w:bCs/>
          <w:lang w:eastAsia="pt-BR"/>
        </w:rPr>
      </w:pPr>
      <w:r>
        <w:rPr>
          <w:rFonts w:cs="Arial" w:ascii="Arial" w:hAnsi="Arial"/>
          <w:b/>
          <w:bCs/>
          <w:lang w:eastAsia="pt-BR"/>
        </w:rPr>
        <w:tab/>
      </w:r>
    </w:p>
    <w:p>
      <w:pPr>
        <w:pStyle w:val="Normal"/>
        <w:shd w:fill="FFFFFF" w:val="clear"/>
        <w:suppressAutoHyphens w:val="false"/>
        <w:spacing w:lineRule="atLeast" w:line="0" w:before="4" w:after="4"/>
        <w:jc w:val="both"/>
        <w:rPr>
          <w:rFonts w:ascii="Arial" w:hAnsi="Arial" w:cs="Arial"/>
          <w:lang w:eastAsia="pt-BR"/>
        </w:rPr>
      </w:pPr>
      <w:r>
        <w:rPr>
          <w:rFonts w:cs="Arial" w:ascii="Arial" w:hAnsi="Arial"/>
          <w:b/>
          <w:bCs/>
          <w:lang w:eastAsia="pt-BR"/>
        </w:rPr>
        <w:t>•</w:t>
      </w:r>
      <w:r>
        <w:rPr>
          <w:rFonts w:eastAsia="Arial" w:cs="Arial" w:ascii="Arial" w:hAnsi="Arial"/>
          <w:b/>
          <w:bCs/>
          <w:lang w:eastAsia="pt-BR"/>
        </w:rPr>
        <w:t xml:space="preserve"> </w:t>
      </w:r>
      <w:r>
        <w:rPr>
          <w:rFonts w:cs="Arial" w:ascii="Arial" w:hAnsi="Arial"/>
          <w:b/>
          <w:bCs/>
        </w:rPr>
        <w:t>Gestão de Contratos e Terceiros: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lang w:eastAsia="pt-BR"/>
        </w:rPr>
        <w:t>Validar tecnicamente a contratação de serviços especializados de manutenção, submetendo o planejamento de custos à Gerência Geral para aprovação final.</w:t>
      </w:r>
    </w:p>
    <w:p>
      <w:pPr>
        <w:pStyle w:val="Normal"/>
        <w:shd w:fill="FFFFFF" w:val="clear"/>
        <w:suppressAutoHyphens w:val="false"/>
        <w:spacing w:lineRule="atLeast" w:line="0" w:before="4" w:after="4"/>
        <w:jc w:val="both"/>
        <w:rPr>
          <w:rFonts w:ascii="Arial" w:hAnsi="Arial" w:cs="Arial"/>
          <w:lang w:eastAsia="pt-BR"/>
        </w:rPr>
      </w:pPr>
      <w:r>
        <w:rPr>
          <w:rFonts w:cs="Arial" w:ascii="Arial" w:hAnsi="Arial"/>
          <w:b/>
          <w:bCs/>
          <w:lang w:eastAsia="pt-BR"/>
        </w:rPr>
        <w:t>•</w:t>
      </w:r>
      <w:r>
        <w:rPr>
          <w:rFonts w:eastAsia="Arial" w:cs="Arial" w:ascii="Arial" w:hAnsi="Arial"/>
          <w:b/>
          <w:bCs/>
          <w:lang w:eastAsia="pt-BR"/>
        </w:rPr>
        <w:t xml:space="preserve"> </w:t>
      </w:r>
      <w:r>
        <w:rPr>
          <w:rFonts w:cs="Arial" w:ascii="Arial" w:hAnsi="Arial"/>
          <w:b/>
          <w:bCs/>
          <w:lang w:eastAsia="pt-BR"/>
        </w:rPr>
        <w:t>Controle de Performance (KPIs):</w:t>
      </w:r>
      <w:r>
        <w:rPr>
          <w:rFonts w:cs="Arial" w:ascii="Arial" w:hAnsi="Arial"/>
          <w:lang w:eastAsia="pt-BR"/>
        </w:rPr>
        <w:t xml:space="preserve"> Monitorar os indicadores de desempenho da manutenção (como disponibilidade da frota e MTBF) para garantir a eficiência dos empurradores</w:t>
      </w:r>
    </w:p>
    <w:p>
      <w:pPr>
        <w:pStyle w:val="Normal"/>
        <w:shd w:fill="FFFFFF" w:val="clear"/>
        <w:suppressAutoHyphens w:val="false"/>
        <w:spacing w:lineRule="atLeast" w:line="0" w:before="4" w:after="4"/>
        <w:jc w:val="both"/>
        <w:rPr/>
      </w:pPr>
      <w:r>
        <w:rPr>
          <w:rFonts w:cs="Arial" w:ascii="Arial" w:hAnsi="Arial"/>
          <w:b/>
          <w:bCs/>
          <w:lang w:eastAsia="pt-BR"/>
        </w:rPr>
        <w:t>•</w:t>
      </w:r>
      <w:r>
        <w:rPr>
          <w:rFonts w:eastAsia="Arial" w:cs="Arial" w:ascii="Arial" w:hAnsi="Arial"/>
          <w:b/>
          <w:bCs/>
          <w:lang w:eastAsia="pt-BR"/>
        </w:rPr>
        <w:t xml:space="preserve"> </w:t>
      </w:r>
      <w:r>
        <w:rPr>
          <w:rFonts w:cs="Arial" w:ascii="Arial" w:hAnsi="Arial"/>
          <w:b/>
          <w:bCs/>
          <w:lang w:eastAsia="pt-BR"/>
        </w:rPr>
        <w:t>Mitigação de Riscos:</w:t>
      </w:r>
      <w:r>
        <w:rPr>
          <w:rFonts w:cs="Arial" w:ascii="Arial" w:hAnsi="Arial"/>
          <w:lang w:eastAsia="pt-BR"/>
        </w:rPr>
        <w:t xml:space="preserve"> Intervir em situações de manutenção corretiva emergencial que possam impactar o cumprimento de prazos contratuais ou a integridade ambiental.</w:t>
      </w:r>
    </w:p>
    <w:p>
      <w:pPr>
        <w:pStyle w:val="Normal"/>
        <w:shd w:fill="FFFFFF" w:val="clear"/>
        <w:suppressAutoHyphens w:val="false"/>
        <w:spacing w:lineRule="atLeast" w:line="0" w:before="4" w:after="4"/>
        <w:rPr/>
      </w:pPr>
      <w:r>
        <w:rPr>
          <w:rFonts w:eastAsia="Arial" w:cs="Arial" w:ascii="Arial" w:hAnsi="Arial"/>
          <w:lang w:eastAsia="pt-BR"/>
        </w:rPr>
        <w:t xml:space="preserve">  </w:t>
      </w:r>
    </w:p>
    <w:p>
      <w:pPr>
        <w:pStyle w:val="Normal"/>
        <w:shd w:fill="FFFFFF" w:val="clear"/>
        <w:suppressAutoHyphens w:val="false"/>
        <w:spacing w:lineRule="atLeast" w:line="0" w:before="4" w:after="4"/>
        <w:rPr>
          <w:rFonts w:ascii="Arial" w:hAnsi="Arial" w:cs="Arial"/>
          <w:b/>
          <w:bCs/>
          <w:lang w:eastAsia="pt-BR"/>
        </w:rPr>
      </w:pPr>
      <w:r>
        <w:rPr>
          <w:rFonts w:cs="Arial" w:ascii="Arial" w:hAnsi="Arial"/>
          <w:b/>
          <w:bCs/>
          <w:lang w:eastAsia="pt-BR"/>
        </w:rPr>
      </w:r>
    </w:p>
    <w:p>
      <w:pPr>
        <w:pStyle w:val="Normal"/>
        <w:shd w:fill="FFFFFF" w:val="clear"/>
        <w:suppressAutoHyphens w:val="false"/>
        <w:spacing w:lineRule="atLeast" w:line="0" w:before="4" w:after="4"/>
        <w:rPr/>
      </w:pPr>
      <w:r>
        <w:rPr>
          <w:rFonts w:cs="Arial" w:ascii="Arial" w:hAnsi="Arial"/>
          <w:b/>
          <w:bCs/>
          <w:lang w:eastAsia="pt-BR"/>
        </w:rPr>
        <w:t>4.3 Supervisor de Manutenção</w:t>
      </w:r>
    </w:p>
    <w:p>
      <w:pPr>
        <w:pStyle w:val="Normal"/>
        <w:shd w:fill="FFFFFF" w:val="clear"/>
        <w:suppressAutoHyphens w:val="false"/>
        <w:spacing w:lineRule="atLeast" w:line="0" w:before="4" w:after="4"/>
        <w:ind w:start="360" w:end="0"/>
        <w:rPr>
          <w:rFonts w:ascii="Arial" w:hAnsi="Arial" w:cs="Arial"/>
          <w:b/>
          <w:bCs/>
          <w:lang w:eastAsia="pt-BR"/>
        </w:rPr>
      </w:pPr>
      <w:r>
        <w:rPr>
          <w:rFonts w:cs="Arial" w:ascii="Arial" w:hAnsi="Arial"/>
          <w:b/>
          <w:bCs/>
          <w:lang w:eastAsia="pt-BR"/>
        </w:rPr>
      </w:r>
    </w:p>
    <w:p>
      <w:pPr>
        <w:pStyle w:val="Normal"/>
        <w:shd w:fill="FFFFFF" w:val="clear"/>
        <w:suppressAutoHyphens w:val="false"/>
        <w:spacing w:lineRule="atLeast" w:line="0" w:before="4" w:after="4"/>
        <w:jc w:val="both"/>
        <w:rPr/>
      </w:pPr>
      <w:r>
        <w:rPr>
          <w:rFonts w:eastAsia="Arial" w:cs="Arial" w:ascii="Arial" w:hAnsi="Arial"/>
          <w:lang w:eastAsia="pt-BR"/>
        </w:rPr>
        <w:t xml:space="preserve">       </w:t>
      </w:r>
      <w:r>
        <w:rPr>
          <w:rFonts w:cs="Arial" w:ascii="Arial" w:hAnsi="Arial"/>
          <w:lang w:eastAsia="pt-BR"/>
        </w:rPr>
        <w:t>O Supervisor de Manutenção é o responsável técnico pela execução e controle das atividades de manutenção, garantindo a máxima disponibilidade dos ativos e o cumprimento das normas de segurança. Suas atribuições compreendem:</w:t>
      </w:r>
    </w:p>
    <w:p>
      <w:pPr>
        <w:pStyle w:val="Normal"/>
        <w:shd w:fill="FFFFFF" w:val="clear"/>
        <w:suppressAutoHyphens w:val="false"/>
        <w:spacing w:lineRule="atLeast" w:line="0" w:before="4" w:after="4"/>
        <w:jc w:val="both"/>
        <w:rPr>
          <w:rFonts w:ascii="Arial" w:hAnsi="Arial" w:cs="Arial"/>
          <w:lang w:eastAsia="pt-BR"/>
        </w:rPr>
      </w:pPr>
      <w:r>
        <w:rPr>
          <w:rFonts w:cs="Arial" w:ascii="Arial" w:hAnsi="Arial"/>
          <w:b/>
          <w:bCs/>
          <w:lang w:eastAsia="pt-BR"/>
        </w:rPr>
        <w:t>•</w:t>
      </w:r>
      <w:r>
        <w:rPr>
          <w:rFonts w:eastAsia="Arial" w:cs="Arial" w:ascii="Arial" w:hAnsi="Arial"/>
          <w:b/>
          <w:bCs/>
          <w:lang w:eastAsia="pt-BR"/>
        </w:rPr>
        <w:t xml:space="preserve"> </w:t>
      </w:r>
      <w:r>
        <w:rPr>
          <w:rFonts w:cs="Arial" w:ascii="Arial" w:hAnsi="Arial"/>
          <w:b/>
          <w:bCs/>
          <w:lang w:eastAsia="pt-BR"/>
        </w:rPr>
        <w:t>Planejamento e Documentação Técnica:</w:t>
      </w:r>
      <w:r>
        <w:rPr>
          <w:rFonts w:cs="Arial" w:ascii="Arial" w:hAnsi="Arial"/>
          <w:lang w:eastAsia="pt-BR"/>
        </w:rPr>
        <w:t xml:space="preserve"> Elaborar e atualizar planos de manutenção e procedimentos operacionais, focando na eliminação de falhas recorrentes e na otimização da performance dos empurradores.</w:t>
      </w:r>
    </w:p>
    <w:p>
      <w:pPr>
        <w:pStyle w:val="Normal"/>
        <w:shd w:fill="FFFFFF" w:val="clear"/>
        <w:suppressAutoHyphens w:val="false"/>
        <w:spacing w:lineRule="atLeast" w:line="0" w:before="4" w:after="4"/>
        <w:jc w:val="both"/>
        <w:rPr>
          <w:rFonts w:ascii="Arial" w:hAnsi="Arial" w:cs="Arial"/>
          <w:lang w:eastAsia="pt-BR"/>
        </w:rPr>
      </w:pPr>
      <w:r>
        <w:rPr>
          <w:rFonts w:cs="Arial" w:ascii="Arial" w:hAnsi="Arial"/>
          <w:b/>
          <w:bCs/>
          <w:lang w:eastAsia="pt-BR"/>
        </w:rPr>
        <w:t>•</w:t>
      </w:r>
      <w:r>
        <w:rPr>
          <w:rFonts w:eastAsia="Arial" w:cs="Arial" w:ascii="Arial" w:hAnsi="Arial"/>
          <w:b/>
          <w:bCs/>
          <w:lang w:eastAsia="pt-BR"/>
        </w:rPr>
        <w:t xml:space="preserve"> </w:t>
      </w:r>
      <w:r>
        <w:rPr>
          <w:rFonts w:cs="Arial" w:ascii="Arial" w:hAnsi="Arial"/>
          <w:b/>
          <w:bCs/>
          <w:lang w:eastAsia="pt-BR"/>
        </w:rPr>
        <w:t>Gestão de Ordens de Manutenção (ERP Sankhya):</w:t>
      </w:r>
      <w:r>
        <w:rPr>
          <w:rFonts w:cs="Arial" w:ascii="Arial" w:hAnsi="Arial"/>
          <w:lang w:eastAsia="pt-BR"/>
        </w:rPr>
        <w:t xml:space="preserve"> Realizar o ciclo completo de gestão no sistema </w:t>
      </w:r>
      <w:r>
        <w:rPr>
          <w:rFonts w:cs="Arial" w:ascii="Arial" w:hAnsi="Arial"/>
          <w:b/>
          <w:bCs/>
          <w:lang w:eastAsia="pt-BR"/>
        </w:rPr>
        <w:t>Sankhya</w:t>
      </w:r>
      <w:r>
        <w:rPr>
          <w:rFonts w:cs="Arial" w:ascii="Arial" w:hAnsi="Arial"/>
          <w:lang w:eastAsia="pt-BR"/>
        </w:rPr>
        <w:t>, desde a triagem e classificação de prioridade até o direcionamento das equipes e o encerramento técnico das ordens.</w:t>
      </w:r>
    </w:p>
    <w:p>
      <w:pPr>
        <w:pStyle w:val="Normal"/>
        <w:shd w:fill="FFFFFF" w:val="clear"/>
        <w:suppressAutoHyphens w:val="false"/>
        <w:spacing w:lineRule="atLeast" w:line="0" w:before="4" w:after="4"/>
        <w:jc w:val="both"/>
        <w:rPr/>
      </w:pPr>
      <w:r>
        <w:rPr>
          <w:rFonts w:cs="Arial" w:ascii="Arial" w:hAnsi="Arial"/>
          <w:b/>
          <w:bCs/>
          <w:lang w:eastAsia="pt-BR"/>
        </w:rPr>
        <w:t>•</w:t>
      </w:r>
      <w:r>
        <w:rPr>
          <w:rFonts w:eastAsia="Arial" w:cs="Arial" w:ascii="Arial" w:hAnsi="Arial"/>
          <w:b/>
          <w:bCs/>
          <w:lang w:eastAsia="pt-BR"/>
        </w:rPr>
        <w:t xml:space="preserve"> </w:t>
      </w:r>
      <w:r>
        <w:rPr>
          <w:rFonts w:cs="Arial" w:ascii="Arial" w:hAnsi="Arial"/>
          <w:b/>
          <w:bCs/>
          <w:lang w:eastAsia="pt-BR"/>
        </w:rPr>
        <w:t>Programação das preventivas:</w:t>
      </w:r>
      <w:r>
        <w:rPr>
          <w:rFonts w:cs="Arial" w:ascii="Arial" w:hAnsi="Arial"/>
          <w:lang w:eastAsia="pt-BR"/>
        </w:rPr>
        <w:t xml:space="preserve"> antes de cada saída, com base nos horímetros do FR 027_L e nas horas previstas da viagem, abrir no Sankhya as OMs das preventivas do Anexo I que vencerão no período, com a hora-alvo de execução, e providenciar o material. Mensalmente, abrir as OMs dos itens com frequência por calendário.</w:t>
      </w:r>
    </w:p>
    <w:p>
      <w:pPr>
        <w:pStyle w:val="Normal"/>
        <w:spacing w:lineRule="auto" w:line="276" w:before="0" w:after="60"/>
        <w:jc w:val="both"/>
        <w:rPr/>
      </w:pPr>
      <w:r>
        <w:rPr>
          <w:rFonts w:eastAsia="Arial" w:cs="Arial" w:ascii="Arial" w:hAnsi="Arial"/>
        </w:rPr>
        <w:t xml:space="preserve">• </w:t>
      </w:r>
      <w:r>
        <w:rPr>
          <w:rFonts w:eastAsia="Arial" w:cs="Arial" w:ascii="Arial" w:hAnsi="Arial"/>
          <w:b/>
          <w:bCs/>
        </w:rPr>
        <w:t>Manutenção preditiva:</w:t>
      </w:r>
      <w:r>
        <w:rPr>
          <w:rFonts w:eastAsia="Arial" w:cs="Arial" w:ascii="Arial" w:hAnsi="Arial"/>
        </w:rPr>
        <w:t xml:space="preserve"> acompanhar o teste de compressão dos MCPs (a cada 1.000 h), os laudos de óleo e a tendência trimestral de parâmetros e abrir OM quando houver alerta. Definir, a cada semestre, o MCP da amostra de óleo (rodízio – Anexo I, item 1.1.29), priorizando a menor compressão, a maior queda entre medições ou o maior consumo de óleo, e garantir que cada MCP seja analisado ao menos 1 (uma) vez a cada 24 meses. A compilação dos dados pode ser feita pelo Analista de Manutenção, quando houver.</w:t>
      </w:r>
    </w:p>
    <w:p>
      <w:pPr>
        <w:pStyle w:val="Normal"/>
        <w:shd w:fill="FFFFFF" w:val="clear"/>
        <w:suppressAutoHyphens w:val="false"/>
        <w:spacing w:lineRule="atLeast" w:line="0" w:before="4" w:after="4"/>
        <w:jc w:val="both"/>
        <w:rPr>
          <w:rFonts w:ascii="Arial" w:hAnsi="Arial" w:cs="Arial"/>
          <w:lang w:eastAsia="pt-BR"/>
        </w:rPr>
      </w:pPr>
      <w:r>
        <w:rPr>
          <w:rFonts w:cs="Arial" w:ascii="Arial" w:hAnsi="Arial"/>
          <w:b/>
          <w:bCs/>
          <w:lang w:eastAsia="pt-BR"/>
        </w:rPr>
        <w:t>•</w:t>
      </w:r>
      <w:r>
        <w:rPr>
          <w:rFonts w:eastAsia="Arial" w:cs="Arial" w:ascii="Arial" w:hAnsi="Arial"/>
          <w:b/>
          <w:bCs/>
          <w:lang w:eastAsia="pt-BR"/>
        </w:rPr>
        <w:t xml:space="preserve"> </w:t>
      </w:r>
      <w:r>
        <w:rPr>
          <w:rFonts w:cs="Arial" w:ascii="Arial" w:hAnsi="Arial"/>
          <w:b/>
          <w:bCs/>
          <w:lang w:eastAsia="pt-BR"/>
        </w:rPr>
        <w:t>Controle de Serviços Externos:</w:t>
      </w:r>
      <w:r>
        <w:rPr>
          <w:rFonts w:cs="Arial" w:ascii="Arial" w:hAnsi="Arial"/>
          <w:lang w:eastAsia="pt-BR"/>
        </w:rPr>
        <w:t xml:space="preserve"> Fiscalizar a execução de serviços por terceiros, atestando o relatório técnico do fornecedor anexado ao Anexo II ou, na sua ausência, registrando a execução no próprio Anexo II (item 5.8).</w:t>
      </w:r>
    </w:p>
    <w:p>
      <w:pPr>
        <w:pStyle w:val="Normal"/>
        <w:shd w:fill="FFFFFF" w:val="clear"/>
        <w:suppressAutoHyphens w:val="false"/>
        <w:spacing w:lineRule="atLeast" w:line="0" w:before="4" w:after="4"/>
        <w:jc w:val="both"/>
        <w:rPr/>
      </w:pPr>
      <w:r>
        <w:rPr>
          <w:rFonts w:cs="Arial" w:ascii="Arial" w:hAnsi="Arial"/>
          <w:b/>
          <w:bCs/>
          <w:lang w:eastAsia="pt-BR"/>
        </w:rPr>
        <w:t>•</w:t>
      </w:r>
      <w:r>
        <w:rPr>
          <w:rFonts w:eastAsia="Arial" w:cs="Arial" w:ascii="Arial" w:hAnsi="Arial"/>
          <w:b/>
          <w:bCs/>
          <w:lang w:eastAsia="pt-BR"/>
        </w:rPr>
        <w:t xml:space="preserve"> </w:t>
      </w:r>
      <w:r>
        <w:rPr>
          <w:rFonts w:cs="Arial" w:ascii="Arial" w:hAnsi="Arial"/>
          <w:b/>
          <w:bCs/>
          <w:lang w:eastAsia="pt-BR"/>
        </w:rPr>
        <w:t>Garantia de Disponibilidade (Comissionamento):</w:t>
      </w:r>
      <w:r>
        <w:rPr>
          <w:rFonts w:cs="Arial" w:ascii="Arial" w:hAnsi="Arial"/>
          <w:lang w:eastAsia="pt-BR"/>
        </w:rPr>
        <w:t xml:space="preserve"> Assegurar que os equipamentos sejam entregues à Operação Aquaviária em perfeitas condições de uso, testados e com a devida limpeza e segurança.</w:t>
      </w:r>
    </w:p>
    <w:p>
      <w:pPr>
        <w:pStyle w:val="Normal"/>
        <w:shd w:fill="FFFFFF" w:val="clear"/>
        <w:suppressAutoHyphens w:val="false"/>
        <w:spacing w:lineRule="atLeast" w:line="0" w:before="4" w:after="4"/>
        <w:jc w:val="both"/>
        <w:rPr>
          <w:rFonts w:ascii="Arial" w:hAnsi="Arial" w:cs="Arial"/>
          <w:lang w:eastAsia="pt-BR"/>
        </w:rPr>
      </w:pPr>
      <w:r>
        <w:rPr>
          <w:rFonts w:cs="Arial" w:ascii="Arial" w:hAnsi="Arial"/>
          <w:b/>
          <w:bCs/>
          <w:lang w:eastAsia="pt-BR"/>
        </w:rPr>
        <w:t>•</w:t>
      </w:r>
      <w:r>
        <w:rPr>
          <w:rFonts w:eastAsia="Arial" w:cs="Arial" w:ascii="Arial" w:hAnsi="Arial"/>
          <w:b/>
          <w:bCs/>
          <w:lang w:eastAsia="pt-BR"/>
        </w:rPr>
        <w:t xml:space="preserve"> </w:t>
      </w:r>
      <w:r>
        <w:rPr>
          <w:rFonts w:cs="Arial" w:ascii="Arial" w:hAnsi="Arial"/>
          <w:b/>
          <w:bCs/>
          <w:lang w:eastAsia="pt-BR"/>
        </w:rPr>
        <w:t>Conformidade e SGI:</w:t>
      </w:r>
      <w:r>
        <w:rPr>
          <w:rFonts w:cs="Arial" w:ascii="Arial" w:hAnsi="Arial"/>
          <w:lang w:eastAsia="pt-BR"/>
        </w:rPr>
        <w:t xml:space="preserve"> Zelar pelo cumprimento integral das diretrizes do </w:t>
      </w:r>
      <w:r>
        <w:rPr>
          <w:rFonts w:cs="Arial" w:ascii="Arial" w:hAnsi="Arial"/>
          <w:bCs/>
          <w:lang w:eastAsia="pt-BR"/>
        </w:rPr>
        <w:t>Sistema de Gestão Integrado (SGI)</w:t>
      </w:r>
      <w:r>
        <w:rPr>
          <w:rFonts w:cs="Arial" w:ascii="Arial" w:hAnsi="Arial"/>
          <w:lang w:eastAsia="pt-BR"/>
        </w:rPr>
        <w:t>, garantindo que todas as intervenções respeitem os padrões de segurança do trabalho e os controles ambientais.</w:t>
      </w:r>
    </w:p>
    <w:p>
      <w:pPr>
        <w:pStyle w:val="Normal"/>
        <w:shd w:fill="FFFFFF" w:val="clear"/>
        <w:suppressAutoHyphens w:val="false"/>
        <w:spacing w:lineRule="atLeast" w:line="0" w:before="4" w:after="4"/>
        <w:jc w:val="both"/>
        <w:rPr>
          <w:rFonts w:ascii="Arial" w:hAnsi="Arial" w:cs="Arial"/>
          <w:lang w:eastAsia="pt-BR"/>
        </w:rPr>
      </w:pPr>
      <w:r>
        <w:rPr>
          <w:rFonts w:cs="Arial" w:ascii="Arial" w:hAnsi="Arial"/>
          <w:lang w:eastAsia="pt-BR"/>
        </w:rPr>
      </w:r>
    </w:p>
    <w:p>
      <w:pPr>
        <w:pStyle w:val="Normal"/>
        <w:shd w:fill="FFFFFF" w:val="clear"/>
        <w:suppressAutoHyphens w:val="false"/>
        <w:spacing w:lineRule="atLeast" w:line="0" w:before="4" w:after="4"/>
        <w:jc w:val="both"/>
        <w:rPr>
          <w:rFonts w:ascii="Arial" w:hAnsi="Arial" w:cs="Arial"/>
          <w:lang w:eastAsia="pt-BR"/>
        </w:rPr>
      </w:pPr>
      <w:r>
        <w:rPr>
          <w:rFonts w:cs="Arial" w:ascii="Arial" w:hAnsi="Arial"/>
          <w:lang w:eastAsia="pt-BR"/>
        </w:rPr>
      </w:r>
    </w:p>
    <w:p>
      <w:pPr>
        <w:pStyle w:val="Normal"/>
        <w:shd w:fill="FFFFFF" w:val="clear"/>
        <w:suppressAutoHyphens w:val="false"/>
        <w:spacing w:lineRule="atLeast" w:line="0" w:before="4" w:after="4"/>
        <w:jc w:val="both"/>
        <w:rPr>
          <w:rFonts w:ascii="Arial" w:hAnsi="Arial" w:cs="Arial"/>
          <w:lang w:eastAsia="pt-BR"/>
        </w:rPr>
      </w:pPr>
      <w:r>
        <w:rPr>
          <w:rFonts w:cs="Arial" w:ascii="Arial" w:hAnsi="Arial"/>
          <w:lang w:eastAsia="pt-BR"/>
        </w:rPr>
      </w:r>
    </w:p>
    <w:p>
      <w:pPr>
        <w:pStyle w:val="Normal"/>
        <w:shd w:fill="FFFFFF" w:val="clear"/>
        <w:suppressAutoHyphens w:val="false"/>
        <w:spacing w:lineRule="atLeast" w:line="0" w:before="4" w:after="4"/>
        <w:ind w:start="360" w:end="0"/>
        <w:rPr>
          <w:rFonts w:ascii="Arial" w:hAnsi="Arial" w:cs="Arial"/>
          <w:lang w:eastAsia="pt-BR"/>
        </w:rPr>
      </w:pPr>
      <w:r>
        <w:rPr>
          <w:rFonts w:cs="Arial" w:ascii="Arial" w:hAnsi="Arial"/>
          <w:lang w:eastAsia="pt-BR"/>
        </w:rPr>
      </w:r>
    </w:p>
    <w:p>
      <w:pPr>
        <w:pStyle w:val="Normal"/>
        <w:shd w:fill="FFFFFF" w:val="clear"/>
        <w:suppressAutoHyphens w:val="false"/>
        <w:spacing w:lineRule="atLeast" w:line="0" w:before="4" w:after="4"/>
        <w:rPr/>
      </w:pPr>
      <w:r>
        <w:rPr>
          <w:rFonts w:cs="Arial" w:ascii="Arial" w:hAnsi="Arial"/>
          <w:b/>
          <w:bCs/>
          <w:lang w:eastAsia="pt-BR"/>
        </w:rPr>
        <w:t>4.4 Líder de Operação e Operador de Medição</w:t>
      </w:r>
    </w:p>
    <w:p>
      <w:pPr>
        <w:pStyle w:val="Normal"/>
        <w:shd w:fill="FFFFFF" w:val="clear"/>
        <w:suppressAutoHyphens w:val="false"/>
        <w:spacing w:lineRule="atLeast" w:line="0" w:before="4" w:after="4"/>
        <w:rPr>
          <w:rFonts w:ascii="Arial" w:hAnsi="Arial" w:cs="Arial"/>
          <w:b/>
          <w:bCs/>
          <w:lang w:eastAsia="pt-BR"/>
        </w:rPr>
      </w:pPr>
      <w:r>
        <w:rPr>
          <w:rFonts w:cs="Arial" w:ascii="Arial" w:hAnsi="Arial"/>
          <w:b/>
          <w:bCs/>
          <w:lang w:eastAsia="pt-BR"/>
        </w:rPr>
      </w:r>
    </w:p>
    <w:p>
      <w:pPr>
        <w:pStyle w:val="Normal"/>
        <w:shd w:fill="FFFFFF" w:val="clear"/>
        <w:suppressAutoHyphens w:val="false"/>
        <w:spacing w:lineRule="atLeast" w:line="0" w:before="4" w:after="4"/>
        <w:jc w:val="both"/>
        <w:rPr>
          <w:rFonts w:ascii="Arial" w:hAnsi="Arial" w:cs="Arial"/>
          <w:lang w:eastAsia="pt-BR"/>
        </w:rPr>
      </w:pPr>
      <w:r>
        <w:rPr>
          <w:rFonts w:eastAsia="Arial" w:cs="Arial" w:ascii="Arial" w:hAnsi="Arial"/>
          <w:lang w:eastAsia="pt-BR"/>
        </w:rPr>
        <w:t xml:space="preserve">     </w:t>
      </w:r>
      <w:r>
        <w:rPr>
          <w:rFonts w:cs="Arial" w:ascii="Arial" w:hAnsi="Arial"/>
          <w:lang w:eastAsia="pt-BR"/>
        </w:rPr>
        <w:t>Atuar na identificação de anomalias, sendo responsáveis pelo monitoramento contínuo das condições das embarcações. Suas atribuições consistem em:</w:t>
      </w:r>
    </w:p>
    <w:p>
      <w:pPr>
        <w:pStyle w:val="Normal"/>
        <w:shd w:fill="FFFFFF" w:val="clear"/>
        <w:suppressAutoHyphens w:val="false"/>
        <w:spacing w:lineRule="atLeast" w:line="0" w:before="4" w:after="4"/>
        <w:jc w:val="both"/>
        <w:rPr>
          <w:rFonts w:ascii="Arial" w:hAnsi="Arial" w:cs="Arial"/>
          <w:lang w:eastAsia="pt-BR"/>
        </w:rPr>
      </w:pPr>
      <w:r>
        <w:rPr>
          <w:rFonts w:cs="Arial" w:ascii="Arial" w:hAnsi="Arial"/>
          <w:lang w:eastAsia="pt-BR"/>
        </w:rPr>
      </w:r>
    </w:p>
    <w:p>
      <w:pPr>
        <w:pStyle w:val="Normal"/>
        <w:shd w:fill="FFFFFF" w:val="clear"/>
        <w:suppressAutoHyphens w:val="false"/>
        <w:spacing w:lineRule="atLeast" w:line="0" w:before="4" w:after="4"/>
        <w:jc w:val="both"/>
        <w:rPr>
          <w:rFonts w:ascii="Arial" w:hAnsi="Arial" w:cs="Arial"/>
          <w:lang w:eastAsia="pt-BR"/>
        </w:rPr>
      </w:pPr>
      <w:r>
        <w:rPr>
          <w:rFonts w:cs="Arial" w:ascii="Arial" w:hAnsi="Arial"/>
          <w:b/>
          <w:bCs/>
          <w:lang w:eastAsia="pt-BR"/>
        </w:rPr>
        <w:t>•</w:t>
      </w:r>
      <w:r>
        <w:rPr>
          <w:rFonts w:eastAsia="Arial" w:cs="Arial" w:ascii="Arial" w:hAnsi="Arial"/>
          <w:b/>
          <w:bCs/>
          <w:lang w:eastAsia="pt-BR"/>
        </w:rPr>
        <w:t xml:space="preserve"> </w:t>
      </w:r>
      <w:r>
        <w:rPr>
          <w:rFonts w:cs="Arial" w:ascii="Arial" w:hAnsi="Arial"/>
          <w:b/>
          <w:bCs/>
          <w:lang w:eastAsia="pt-BR"/>
        </w:rPr>
        <w:t>Monitoramento e Inspeção (Checklist):</w:t>
      </w:r>
      <w:r>
        <w:rPr>
          <w:rFonts w:cs="Arial" w:ascii="Arial" w:hAnsi="Arial"/>
          <w:lang w:eastAsia="pt-BR"/>
        </w:rPr>
        <w:t xml:space="preserve"> Realizar inspeções rigorosas de chegada e saída dos empurradores, preenchendo o formulário FR 027_L. Este documento é a base para a rastreabilidade da integridade do ativo.</w:t>
      </w:r>
    </w:p>
    <w:p>
      <w:pPr>
        <w:pStyle w:val="Normal"/>
        <w:shd w:fill="FFFFFF" w:val="clear"/>
        <w:suppressAutoHyphens w:val="false"/>
        <w:spacing w:lineRule="atLeast" w:line="0" w:before="4" w:after="4"/>
        <w:jc w:val="both"/>
        <w:rPr>
          <w:rFonts w:ascii="Arial" w:hAnsi="Arial" w:cs="Arial"/>
          <w:lang w:eastAsia="pt-BR"/>
        </w:rPr>
      </w:pPr>
      <w:r>
        <w:rPr>
          <w:rFonts w:cs="Arial" w:ascii="Arial" w:hAnsi="Arial"/>
          <w:b/>
          <w:bCs/>
          <w:lang w:eastAsia="pt-BR"/>
        </w:rPr>
        <w:t>•</w:t>
      </w:r>
      <w:r>
        <w:rPr>
          <w:rFonts w:eastAsia="Arial" w:cs="Arial" w:ascii="Arial" w:hAnsi="Arial"/>
          <w:b/>
          <w:bCs/>
          <w:lang w:eastAsia="pt-BR"/>
        </w:rPr>
        <w:t xml:space="preserve">  </w:t>
      </w:r>
      <w:r>
        <w:rPr>
          <w:rFonts w:cs="Arial" w:ascii="Arial" w:hAnsi="Arial"/>
          <w:b/>
          <w:bCs/>
          <w:lang w:eastAsia="pt-BR"/>
        </w:rPr>
        <w:t>Horímetros:</w:t>
      </w:r>
      <w:r>
        <w:rPr>
          <w:rFonts w:cs="Arial" w:ascii="Arial" w:hAnsi="Arial"/>
          <w:lang w:eastAsia="pt-BR"/>
        </w:rPr>
        <w:t xml:space="preserve"> registrar no FR 027_L, na chegada e na saída, os horímetros dos MCPs, dos MCAs, do motor de popa e das motobombas (5 HP e de incêndio).</w:t>
      </w:r>
    </w:p>
    <w:p>
      <w:pPr>
        <w:pStyle w:val="Normal"/>
        <w:shd w:fill="FFFFFF" w:val="clear"/>
        <w:suppressAutoHyphens w:val="false"/>
        <w:spacing w:lineRule="atLeast" w:line="0" w:before="4" w:after="4"/>
        <w:jc w:val="both"/>
        <w:rPr/>
      </w:pPr>
      <w:r>
        <w:rPr>
          <w:rFonts w:cs="Arial" w:ascii="Arial" w:hAnsi="Arial"/>
          <w:b/>
          <w:bCs/>
          <w:lang w:eastAsia="pt-BR"/>
        </w:rPr>
        <w:t>•</w:t>
      </w:r>
      <w:r>
        <w:rPr>
          <w:rFonts w:eastAsia="Arial" w:cs="Arial" w:ascii="Arial" w:hAnsi="Arial"/>
          <w:b/>
          <w:bCs/>
          <w:lang w:eastAsia="pt-BR"/>
        </w:rPr>
        <w:t xml:space="preserve"> </w:t>
      </w:r>
      <w:r>
        <w:rPr>
          <w:rFonts w:cs="Arial" w:ascii="Arial" w:hAnsi="Arial"/>
          <w:b/>
          <w:bCs/>
          <w:lang w:eastAsia="pt-BR"/>
        </w:rPr>
        <w:t>Gestão de Conformidade:</w:t>
      </w:r>
      <w:r>
        <w:rPr>
          <w:rFonts w:cs="Arial" w:ascii="Arial" w:hAnsi="Arial"/>
          <w:lang w:eastAsia="pt-BR"/>
        </w:rPr>
        <w:t xml:space="preserve"> Garantir a coleta obrigatória das assinaturas do Operador de Medição e do Coordenador de Operações no FR 027_L, validando a veracidade das informações registradas.</w:t>
      </w:r>
    </w:p>
    <w:p>
      <w:pPr>
        <w:pStyle w:val="Normal"/>
        <w:shd w:fill="FFFFFF" w:val="clear"/>
        <w:suppressAutoHyphens w:val="false"/>
        <w:spacing w:lineRule="atLeast" w:line="0" w:before="4" w:after="4"/>
        <w:jc w:val="both"/>
        <w:rPr>
          <w:rFonts w:ascii="Arial" w:hAnsi="Arial" w:cs="Arial"/>
          <w:lang w:eastAsia="pt-BR"/>
        </w:rPr>
      </w:pPr>
      <w:r>
        <w:rPr>
          <w:rFonts w:cs="Arial" w:ascii="Arial" w:hAnsi="Arial"/>
          <w:lang w:eastAsia="pt-BR"/>
        </w:rPr>
      </w:r>
    </w:p>
    <w:p>
      <w:pPr>
        <w:pStyle w:val="Normal"/>
        <w:shd w:fill="FFFFFF" w:val="clear"/>
        <w:suppressAutoHyphens w:val="false"/>
        <w:spacing w:lineRule="atLeast" w:line="0" w:before="4" w:after="4"/>
        <w:jc w:val="both"/>
        <w:rPr/>
      </w:pPr>
      <w:r>
        <w:rPr>
          <w:rFonts w:cs="Arial" w:ascii="Arial" w:hAnsi="Arial"/>
          <w:b/>
          <w:bCs/>
          <w:lang w:eastAsia="pt-BR"/>
        </w:rPr>
        <w:t>•</w:t>
      </w:r>
      <w:r>
        <w:rPr>
          <w:rFonts w:eastAsia="Arial" w:cs="Arial" w:ascii="Arial" w:hAnsi="Arial"/>
          <w:b/>
          <w:bCs/>
          <w:lang w:eastAsia="pt-BR"/>
        </w:rPr>
        <w:t xml:space="preserve"> </w:t>
      </w:r>
      <w:r>
        <w:rPr>
          <w:rFonts w:cs="Arial" w:ascii="Arial" w:hAnsi="Arial"/>
          <w:b/>
          <w:bCs/>
          <w:lang w:eastAsia="pt-BR"/>
        </w:rPr>
        <w:t>Interface com o Sistema (Sankhya):</w:t>
      </w:r>
      <w:r>
        <w:rPr>
          <w:rFonts w:cs="Arial" w:ascii="Arial" w:hAnsi="Arial"/>
          <w:lang w:eastAsia="pt-BR"/>
        </w:rPr>
        <w:t xml:space="preserve"> Converter as irregularidades detectadas no campo em solicitações formais, através da abertura de Ordens de Manutenção (OM) no sistema Sankhya, baseando-se estritamente nos dados validados no FR 027_L.</w:t>
      </w:r>
    </w:p>
    <w:p>
      <w:pPr>
        <w:pStyle w:val="Normal"/>
        <w:shd w:fill="FFFFFF" w:val="clear"/>
        <w:suppressAutoHyphens w:val="false"/>
        <w:spacing w:lineRule="atLeast" w:line="0" w:before="4" w:after="4"/>
        <w:jc w:val="both"/>
        <w:rPr>
          <w:rFonts w:ascii="Arial" w:hAnsi="Arial" w:cs="Arial"/>
          <w:lang w:eastAsia="pt-BR"/>
        </w:rPr>
      </w:pPr>
      <w:r>
        <w:rPr>
          <w:rFonts w:cs="Arial" w:ascii="Arial" w:hAnsi="Arial"/>
          <w:lang w:eastAsia="pt-BR"/>
        </w:rPr>
      </w:r>
    </w:p>
    <w:p>
      <w:pPr>
        <w:pStyle w:val="Normal"/>
        <w:shd w:fill="FFFFFF" w:val="clear"/>
        <w:suppressAutoHyphens w:val="false"/>
        <w:spacing w:lineRule="atLeast" w:line="0" w:before="4" w:after="4"/>
        <w:rPr/>
      </w:pPr>
      <w:r>
        <w:rPr>
          <w:rFonts w:cs="Arial" w:ascii="Arial" w:hAnsi="Arial"/>
          <w:b/>
          <w:bCs/>
          <w:lang w:eastAsia="pt-BR"/>
        </w:rPr>
        <w:t>•</w:t>
      </w:r>
      <w:r>
        <w:rPr>
          <w:rFonts w:eastAsia="Arial" w:cs="Arial" w:ascii="Arial" w:hAnsi="Arial"/>
          <w:b/>
          <w:bCs/>
          <w:lang w:eastAsia="pt-BR"/>
        </w:rPr>
        <w:t xml:space="preserve"> </w:t>
      </w:r>
      <w:r>
        <w:rPr>
          <w:rFonts w:cs="Arial" w:ascii="Arial" w:hAnsi="Arial"/>
          <w:b/>
          <w:bCs/>
          <w:lang w:eastAsia="pt-BR"/>
        </w:rPr>
        <w:t>Apoio Técnico Operacional:</w:t>
      </w:r>
      <w:r>
        <w:rPr>
          <w:rFonts w:cs="Arial" w:ascii="Arial" w:hAnsi="Arial"/>
          <w:lang w:eastAsia="pt-BR"/>
        </w:rPr>
        <w:t xml:space="preserve"> Prestar suporte tático às equipes de manutenção durante a execução das atividades, facilitando o acesso aos equipamentos e fornecendo informações sobre o comportamento funcional das máquinas em operação.</w:t>
      </w:r>
    </w:p>
    <w:p>
      <w:pPr>
        <w:pStyle w:val="PargrafodaLista"/>
        <w:rPr>
          <w:rFonts w:ascii="Arial" w:hAnsi="Arial" w:cs="Arial"/>
          <w:sz w:val="20"/>
          <w:szCs w:val="20"/>
          <w:lang w:val="pt-BR" w:eastAsia="pt-BR"/>
        </w:rPr>
      </w:pPr>
      <w:r>
        <w:rPr>
          <w:rFonts w:cs="Arial" w:ascii="Arial" w:hAnsi="Arial"/>
          <w:sz w:val="20"/>
          <w:szCs w:val="20"/>
          <w:lang w:val="pt-BR" w:eastAsia="pt-BR"/>
        </w:rPr>
      </w:r>
    </w:p>
    <w:p>
      <w:pPr>
        <w:pStyle w:val="Heading3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4.5 Condutor maquinista fluvial – CTF</w:t>
      </w:r>
    </w:p>
    <w:p>
      <w:pPr>
        <w:pStyle w:val="NormalWeb"/>
        <w:shd w:fill="FFFFFF" w:val="clear"/>
        <w:spacing w:lineRule="atLeast" w:line="0" w:before="0" w:after="0"/>
        <w:ind w:start="714" w:end="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NormalWeb"/>
        <w:shd w:fill="FFFFFF" w:val="clear"/>
        <w:spacing w:lineRule="atLeast" w:line="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Responsável pela integridade mecânica direta e conformidade ambiental na embarcação.</w:t>
      </w:r>
    </w:p>
    <w:p>
      <w:pPr>
        <w:pStyle w:val="NormalWeb"/>
        <w:shd w:fill="FFFFFF" w:val="clear"/>
        <w:spacing w:lineRule="atLeast" w:line="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76" w:before="0" w:after="60"/>
        <w:jc w:val="both"/>
        <w:rPr/>
      </w:pPr>
      <w:r>
        <w:rPr>
          <w:rFonts w:eastAsia="Arial Unicode MS;Arial" w:cs="Arial" w:ascii="Arial" w:hAnsi="Arial"/>
        </w:rPr>
        <w:t>•</w:t>
      </w:r>
      <w:r>
        <w:rPr>
          <w:rFonts w:eastAsia="Arial" w:cs="Arial" w:ascii="Arial" w:hAnsi="Arial"/>
        </w:rPr>
        <w:t xml:space="preserve"> </w:t>
      </w:r>
      <w:r>
        <w:rPr>
          <w:rFonts w:eastAsia="Arial" w:cs="Arial" w:ascii="Arial" w:hAnsi="Arial"/>
          <w:b/>
          <w:bCs/>
        </w:rPr>
        <w:t>Inspeções a bordo:</w:t>
      </w:r>
      <w:r>
        <w:rPr>
          <w:rFonts w:eastAsia="Arial" w:cs="Arial" w:ascii="Arial" w:hAnsi="Arial"/>
        </w:rPr>
        <w:t xml:space="preserve"> executar as inspeções do item 5.3 (antes da saída, no porto) e do item 5.4 (diária, em viagem).</w:t>
      </w:r>
    </w:p>
    <w:p>
      <w:pPr>
        <w:pStyle w:val="NormalWeb"/>
        <w:shd w:fill="FFFFFF" w:val="clear"/>
        <w:spacing w:lineRule="atLeast" w:line="0" w:before="0" w:after="0"/>
        <w:jc w:val="both"/>
        <w:rPr/>
      </w:pPr>
      <w:r>
        <w:rPr>
          <w:rFonts w:cs="Arial" w:ascii="Arial" w:hAnsi="Arial"/>
        </w:rPr>
        <w:t>•</w:t>
      </w:r>
      <w:r>
        <w:rPr>
          <w:rFonts w:eastAsia="Arial" w:cs="Arial" w:ascii="Arial" w:hAnsi="Arial"/>
        </w:rPr>
        <w:t xml:space="preserve"> </w:t>
      </w:r>
      <w:r>
        <w:rPr>
          <w:rFonts w:cs="Arial" w:ascii="Arial" w:hAnsi="Arial"/>
          <w:b/>
          <w:bCs/>
        </w:rPr>
        <w:t>Horímetro e parâmetros:</w:t>
      </w:r>
      <w:r>
        <w:rPr>
          <w:rFonts w:cs="Arial" w:ascii="Arial" w:hAnsi="Arial"/>
        </w:rPr>
        <w:t xml:space="preserve"> registrar diariamente no Diário de Máquinas os horímetros, a pressão de óleo, as temperaturas, a rotação e os litros de óleo completados dos MCPs e MCAs, e acompanhar esses parâmetros durante a viagem (item 5.4).</w:t>
      </w:r>
    </w:p>
    <w:p>
      <w:pPr>
        <w:pStyle w:val="NormalWeb"/>
        <w:shd w:fill="FFFFFF" w:val="clear"/>
        <w:spacing w:lineRule="atLeast" w:line="0" w:before="0" w:after="0"/>
        <w:jc w:val="both"/>
        <w:rPr/>
      </w:pPr>
      <w:r>
        <w:rPr>
          <w:rFonts w:cs="Arial" w:ascii="Arial" w:hAnsi="Arial"/>
        </w:rPr>
        <w:t>•</w:t>
      </w:r>
      <w:r>
        <w:rPr>
          <w:rFonts w:eastAsia="Arial" w:cs="Arial" w:ascii="Arial" w:hAnsi="Arial"/>
        </w:rPr>
        <w:t xml:space="preserve"> </w:t>
      </w:r>
      <w:r>
        <w:rPr>
          <w:rFonts w:cs="Arial" w:ascii="Arial" w:hAnsi="Arial"/>
          <w:b/>
          <w:bCs/>
        </w:rPr>
        <w:t>Materiais:</w:t>
      </w:r>
      <w:r>
        <w:rPr>
          <w:rFonts w:cs="Arial" w:ascii="Arial" w:hAnsi="Arial"/>
        </w:rPr>
        <w:t xml:space="preserve"> antes da saída, conferir se o material das OMs embarcadas está a bordo e solicitar à Manutenção o que faltar.</w:t>
      </w:r>
    </w:p>
    <w:p>
      <w:pPr>
        <w:pStyle w:val="NormalWeb"/>
        <w:shd w:fill="FFFFFF" w:val="clear"/>
        <w:spacing w:lineRule="atLeast" w:line="0" w:before="0" w:after="0"/>
        <w:jc w:val="both"/>
        <w:rPr/>
      </w:pPr>
      <w:r>
        <w:rPr>
          <w:rFonts w:cs="Arial" w:ascii="Arial" w:hAnsi="Arial"/>
        </w:rPr>
        <w:t>•</w:t>
      </w:r>
      <w:r>
        <w:rPr>
          <w:rFonts w:eastAsia="Arial" w:cs="Arial" w:ascii="Arial" w:hAnsi="Arial"/>
        </w:rPr>
        <w:t xml:space="preserve"> </w:t>
      </w:r>
      <w:r>
        <w:rPr>
          <w:rFonts w:cs="Arial" w:ascii="Arial" w:hAnsi="Arial"/>
          <w:b/>
          <w:bCs/>
        </w:rPr>
        <w:t>Execução das preventivas:</w:t>
      </w:r>
      <w:r>
        <w:rPr>
          <w:rFonts w:cs="Arial" w:ascii="Arial" w:hAnsi="Arial"/>
        </w:rPr>
        <w:t xml:space="preserve"> executar as OMs preventivas embarcadas ao atingir a hora-alvo, incluindo trocas de óleo e filtros conforme o Anexo I, registrar a execução na OM (e no FR 049_B, nas trocas de óleo e filtros) e comunicar ao Supervisor de Manutenção pelo Comandante, via Autotrac.</w:t>
      </w:r>
    </w:p>
    <w:p>
      <w:pPr>
        <w:pStyle w:val="NormalWeb"/>
        <w:shd w:fill="FFFFFF" w:val="clear"/>
        <w:spacing w:lineRule="atLeast" w:line="0" w:before="0" w:after="0"/>
        <w:jc w:val="both"/>
        <w:rPr/>
      </w:pPr>
      <w:r>
        <w:rPr>
          <w:rFonts w:cs="Arial" w:ascii="Arial" w:hAnsi="Arial"/>
        </w:rPr>
        <w:t>•</w:t>
      </w:r>
      <w:r>
        <w:rPr>
          <w:rFonts w:eastAsia="Arial" w:cs="Arial" w:ascii="Arial" w:hAnsi="Arial"/>
        </w:rPr>
        <w:t xml:space="preserve"> </w:t>
      </w:r>
      <w:r>
        <w:rPr>
          <w:rFonts w:cs="Arial" w:ascii="Arial" w:hAnsi="Arial"/>
          <w:b/>
          <w:bCs/>
        </w:rPr>
        <w:t>Coleta de amostra de óleo:</w:t>
      </w:r>
      <w:r>
        <w:rPr>
          <w:rFonts w:cs="Arial" w:ascii="Arial" w:hAnsi="Arial"/>
        </w:rPr>
        <w:t xml:space="preserve"> coletar e identificar a amostra de óleo do MCP indicado pelo Supervisor de Manutenção (rodízio – Anexo I, item 1.1.29), na troca programada, e sempre que for solicitada coleta extra por suspeita.</w:t>
      </w:r>
    </w:p>
    <w:p>
      <w:pPr>
        <w:pStyle w:val="NormalWeb"/>
        <w:shd w:fill="FFFFFF" w:val="clear"/>
        <w:spacing w:lineRule="atLeast" w:line="0" w:before="0" w:after="0"/>
        <w:jc w:val="both"/>
        <w:rPr/>
      </w:pPr>
      <w:r>
        <w:rPr>
          <w:rFonts w:cs="Arial" w:ascii="Arial" w:hAnsi="Arial"/>
        </w:rPr>
        <w:t>•</w:t>
      </w:r>
      <w:r>
        <w:rPr>
          <w:rFonts w:eastAsia="Arial" w:cs="Arial" w:ascii="Arial" w:hAnsi="Arial"/>
        </w:rPr>
        <w:t xml:space="preserve"> </w:t>
      </w:r>
      <w:r>
        <w:rPr>
          <w:rFonts w:cs="Arial" w:ascii="Arial" w:hAnsi="Arial"/>
          <w:b/>
          <w:bCs/>
        </w:rPr>
        <w:t>Gestão de resíduos (SGI):</w:t>
      </w:r>
      <w:r>
        <w:rPr>
          <w:rFonts w:cs="Arial" w:ascii="Arial" w:hAnsi="Arial"/>
        </w:rPr>
        <w:t xml:space="preserve"> acondicionar óleo, filtros e resíduos contaminados em recipientes apropriados e identificados e entregá-los ao SGI conforme o item 5.7 (FR 016_E).</w:t>
      </w:r>
    </w:p>
    <w:p>
      <w:pPr>
        <w:pStyle w:val="NormalWeb"/>
        <w:shd w:fill="FFFFFF" w:val="clear"/>
        <w:spacing w:lineRule="atLeast" w:line="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i/>
          <w:iCs/>
        </w:rPr>
        <w:t>Nota: Proibido qualquer descarte de óleo, filtros ou qualquer resíduo no ambiente aquático.</w:t>
      </w:r>
    </w:p>
    <w:p>
      <w:pPr>
        <w:pStyle w:val="NormalWeb"/>
        <w:shd w:fill="FFFFFF" w:val="clear"/>
        <w:spacing w:lineRule="atLeast" w:line="0" w:before="0" w:after="0"/>
        <w:jc w:val="both"/>
        <w:rPr/>
      </w:pPr>
      <w:r>
        <w:rPr>
          <w:rFonts w:cs="Arial" w:ascii="Arial" w:hAnsi="Arial"/>
        </w:rPr>
        <w:t>•</w:t>
      </w:r>
      <w:r>
        <w:rPr>
          <w:rFonts w:eastAsia="Arial" w:cs="Arial" w:ascii="Arial" w:hAnsi="Arial"/>
        </w:rPr>
        <w:t xml:space="preserve"> </w:t>
      </w:r>
      <w:r>
        <w:rPr>
          <w:rFonts w:cs="Arial" w:ascii="Arial" w:hAnsi="Arial"/>
          <w:b/>
          <w:bCs/>
        </w:rPr>
        <w:t>Organização e limpeza:</w:t>
      </w:r>
      <w:r>
        <w:rPr>
          <w:rFonts w:cs="Arial" w:ascii="Arial" w:hAnsi="Arial"/>
        </w:rPr>
        <w:t xml:space="preserve"> manter a praça de máquinas limpa e organizada (5S), facilitando a detecção de vazamentos e falhas incipientes.</w:t>
      </w:r>
    </w:p>
    <w:p>
      <w:pPr>
        <w:pStyle w:val="NormalWeb"/>
        <w:shd w:fill="FFFFFF" w:val="clear"/>
        <w:spacing w:lineRule="atLeast" w:line="0" w:before="0" w:after="0"/>
        <w:jc w:val="both"/>
        <w:rPr/>
      </w:pPr>
      <w:r>
        <w:rPr>
          <w:rFonts w:cs="Arial" w:ascii="Arial" w:hAnsi="Arial"/>
        </w:rPr>
        <w:t>•</w:t>
      </w:r>
      <w:r>
        <w:rPr>
          <w:rFonts w:eastAsia="Arial" w:cs="Arial" w:ascii="Arial" w:hAnsi="Arial"/>
        </w:rPr>
        <w:t xml:space="preserve"> </w:t>
      </w:r>
      <w:r>
        <w:rPr>
          <w:rFonts w:cs="Arial" w:ascii="Arial" w:hAnsi="Arial"/>
          <w:b/>
          <w:bCs/>
        </w:rPr>
        <w:t>Reportar anomalias:</w:t>
      </w:r>
      <w:r>
        <w:rPr>
          <w:rFonts w:cs="Arial" w:ascii="Arial" w:hAnsi="Arial"/>
        </w:rPr>
        <w:t xml:space="preserve"> comunicar à Coordenação de Operações e à Supervisão de Manutenção qualquer anomalia, nos prazos do item 5.4.1, informando horímetro e parâmetros observados.</w:t>
      </w:r>
    </w:p>
    <w:p>
      <w:pPr>
        <w:pStyle w:val="NormalWeb"/>
        <w:shd w:fill="FFFFFF" w:val="clear"/>
        <w:spacing w:lineRule="atLeast" w:line="0" w:before="0" w:after="0"/>
        <w:jc w:val="both"/>
        <w:rPr/>
      </w:pPr>
      <w:r>
        <w:rPr>
          <w:rFonts w:cs="Arial" w:ascii="Arial" w:hAnsi="Arial"/>
        </w:rPr>
        <w:t>•</w:t>
      </w:r>
      <w:r>
        <w:rPr>
          <w:rFonts w:eastAsia="Arial" w:cs="Arial" w:ascii="Arial" w:hAnsi="Arial"/>
        </w:rPr>
        <w:t xml:space="preserve"> </w:t>
      </w:r>
      <w:r>
        <w:rPr>
          <w:rFonts w:cs="Arial" w:ascii="Arial" w:hAnsi="Arial"/>
          <w:b/>
          <w:bCs/>
        </w:rPr>
        <w:t>Parada de emergência:</w:t>
      </w:r>
      <w:r>
        <w:rPr>
          <w:rFonts w:cs="Arial" w:ascii="Arial" w:hAnsi="Arial"/>
        </w:rPr>
        <w:t xml:space="preserve"> em risco iminente de dano ao motor, à tripulação ou ao meio ambiente, parar imediatamente o equipamento e comunicar o Comandante, a quem cabe a decisão sobre a continuidade da operação (item 4.7).</w:t>
      </w:r>
    </w:p>
    <w:p>
      <w:pPr>
        <w:pStyle w:val="NormalWeb"/>
        <w:shd w:fill="FFFFFF" w:val="clear"/>
        <w:spacing w:lineRule="atLeast" w:line="0" w:before="0" w:after="0"/>
        <w:jc w:val="both"/>
        <w:rPr/>
      </w:pPr>
      <w:r>
        <w:rPr>
          <w:rFonts w:cs="Arial" w:ascii="Arial" w:hAnsi="Arial"/>
        </w:rPr>
        <w:t>•</w:t>
      </w:r>
      <w:r>
        <w:rPr>
          <w:rFonts w:eastAsia="Arial" w:cs="Arial" w:ascii="Arial" w:hAnsi="Arial"/>
        </w:rPr>
        <w:t xml:space="preserve"> </w:t>
      </w:r>
      <w:r>
        <w:rPr>
          <w:rFonts w:cs="Arial" w:ascii="Arial" w:hAnsi="Arial"/>
          <w:b/>
          <w:bCs/>
        </w:rPr>
        <w:t>Validação de registros:</w:t>
      </w:r>
      <w:r>
        <w:rPr>
          <w:rFonts w:cs="Arial" w:ascii="Arial" w:hAnsi="Arial"/>
        </w:rPr>
        <w:t xml:space="preserve"> atestar tecnicamente o formulário </w:t>
      </w:r>
      <w:r>
        <w:rPr>
          <w:rFonts w:cs="Arial" w:ascii="Arial" w:hAnsi="Arial"/>
          <w:b/>
          <w:bCs/>
        </w:rPr>
        <w:t>FR 027_L</w:t>
      </w:r>
      <w:r>
        <w:rPr>
          <w:rFonts w:cs="Arial" w:ascii="Arial" w:hAnsi="Arial"/>
        </w:rPr>
        <w:t xml:space="preserve"> após a inspeção conjunta com o operador / líder.</w:t>
      </w:r>
    </w:p>
    <w:p>
      <w:pPr>
        <w:pStyle w:val="NormalWeb"/>
        <w:shd w:fill="FFFFFF" w:val="clear"/>
        <w:suppressAutoHyphens w:val="false"/>
        <w:spacing w:lineRule="atLeast" w:line="0" w:before="0" w:after="0"/>
        <w:ind w:start="714" w:end="0"/>
        <w:rPr>
          <w:rFonts w:ascii="Arial" w:hAnsi="Arial" w:cs="Arial"/>
          <w:color w:val="0F1115"/>
          <w:lang w:eastAsia="pt-BR"/>
        </w:rPr>
      </w:pPr>
      <w:r>
        <w:rPr>
          <w:rFonts w:cs="Arial" w:ascii="Arial" w:hAnsi="Arial"/>
          <w:color w:val="0F1115"/>
          <w:lang w:eastAsia="pt-BR"/>
        </w:rPr>
      </w:r>
    </w:p>
    <w:p>
      <w:pPr>
        <w:pStyle w:val="Heading1"/>
        <w:keepNext w:val="false"/>
        <w:widowControl w:val="false"/>
        <w:tabs>
          <w:tab w:val="clear" w:pos="708"/>
          <w:tab w:val="left" w:pos="850" w:leader="none"/>
        </w:tabs>
        <w:suppressAutoHyphens w:val="false"/>
        <w:autoSpaceDE w:val="false"/>
        <w:spacing w:before="0" w:after="0"/>
        <w:rPr/>
      </w:pPr>
      <w:r>
        <w:rPr>
          <w:rFonts w:cs="Arial" w:ascii="Arial" w:hAnsi="Arial"/>
          <w:b/>
          <w:sz w:val="20"/>
        </w:rPr>
        <w:t>4.6 Marinheiro</w:t>
      </w:r>
      <w:r>
        <w:rPr>
          <w:rFonts w:cs="Arial" w:ascii="Arial" w:hAnsi="Arial"/>
          <w:b/>
          <w:spacing w:val="-9"/>
          <w:sz w:val="20"/>
        </w:rPr>
        <w:t xml:space="preserve"> </w:t>
      </w:r>
      <w:r>
        <w:rPr>
          <w:rFonts w:cs="Arial" w:ascii="Arial" w:hAnsi="Arial"/>
          <w:b/>
          <w:sz w:val="20"/>
        </w:rPr>
        <w:t>Fluvial</w:t>
      </w:r>
      <w:r>
        <w:rPr>
          <w:rFonts w:cs="Arial" w:ascii="Arial" w:hAnsi="Arial"/>
          <w:b/>
          <w:spacing w:val="-4"/>
          <w:sz w:val="20"/>
        </w:rPr>
        <w:t xml:space="preserve"> </w:t>
      </w:r>
      <w:r>
        <w:rPr>
          <w:rFonts w:cs="Arial" w:ascii="Arial" w:hAnsi="Arial"/>
          <w:b/>
          <w:sz w:val="20"/>
        </w:rPr>
        <w:t>de</w:t>
      </w:r>
      <w:r>
        <w:rPr>
          <w:rFonts w:cs="Arial" w:ascii="Arial" w:hAnsi="Arial"/>
          <w:b/>
          <w:spacing w:val="-7"/>
          <w:sz w:val="20"/>
        </w:rPr>
        <w:t xml:space="preserve"> </w:t>
      </w:r>
      <w:r>
        <w:rPr>
          <w:rFonts w:cs="Arial" w:ascii="Arial" w:hAnsi="Arial"/>
          <w:b/>
          <w:sz w:val="20"/>
        </w:rPr>
        <w:t>Máquinas</w:t>
      </w:r>
      <w:r>
        <w:rPr>
          <w:rFonts w:cs="Arial" w:ascii="Arial" w:hAnsi="Arial"/>
          <w:b/>
          <w:spacing w:val="-6"/>
          <w:sz w:val="20"/>
        </w:rPr>
        <w:t xml:space="preserve"> </w:t>
      </w:r>
      <w:r>
        <w:rPr>
          <w:rFonts w:cs="Arial" w:ascii="Arial" w:hAnsi="Arial"/>
          <w:b/>
          <w:sz w:val="20"/>
        </w:rPr>
        <w:t>–</w:t>
      </w:r>
      <w:r>
        <w:rPr>
          <w:rFonts w:cs="Arial" w:ascii="Arial" w:hAnsi="Arial"/>
          <w:b/>
          <w:spacing w:val="-5"/>
          <w:sz w:val="20"/>
        </w:rPr>
        <w:t xml:space="preserve"> MFM</w:t>
      </w:r>
    </w:p>
    <w:p>
      <w:pPr>
        <w:pStyle w:val="BodyText"/>
        <w:spacing w:before="100" w:after="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O</w:t>
      </w:r>
      <w:r>
        <w:rPr>
          <w:rFonts w:cs="Arial" w:ascii="Arial" w:hAnsi="Arial"/>
          <w:spacing w:val="-4"/>
          <w:sz w:val="20"/>
        </w:rPr>
        <w:t xml:space="preserve"> </w:t>
      </w:r>
      <w:r>
        <w:rPr>
          <w:rFonts w:cs="Arial" w:ascii="Arial" w:hAnsi="Arial"/>
          <w:sz w:val="20"/>
        </w:rPr>
        <w:t>marinheiro</w:t>
      </w:r>
      <w:r>
        <w:rPr>
          <w:rFonts w:cs="Arial" w:ascii="Arial" w:hAnsi="Arial"/>
          <w:spacing w:val="-5"/>
          <w:sz w:val="20"/>
        </w:rPr>
        <w:t xml:space="preserve"> </w:t>
      </w:r>
      <w:r>
        <w:rPr>
          <w:rFonts w:cs="Arial" w:ascii="Arial" w:hAnsi="Arial"/>
          <w:sz w:val="20"/>
        </w:rPr>
        <w:t>Fluvial</w:t>
      </w:r>
      <w:r>
        <w:rPr>
          <w:rFonts w:cs="Arial" w:ascii="Arial" w:hAnsi="Arial"/>
          <w:spacing w:val="-4"/>
          <w:sz w:val="20"/>
        </w:rPr>
        <w:t xml:space="preserve"> </w:t>
      </w:r>
      <w:r>
        <w:rPr>
          <w:rFonts w:cs="Arial" w:ascii="Arial" w:hAnsi="Arial"/>
          <w:sz w:val="20"/>
        </w:rPr>
        <w:t>de</w:t>
      </w:r>
      <w:r>
        <w:rPr>
          <w:rFonts w:cs="Arial" w:ascii="Arial" w:hAnsi="Arial"/>
          <w:spacing w:val="-1"/>
          <w:sz w:val="20"/>
        </w:rPr>
        <w:t xml:space="preserve"> </w:t>
      </w:r>
      <w:r>
        <w:rPr>
          <w:rFonts w:cs="Arial" w:ascii="Arial" w:hAnsi="Arial"/>
          <w:sz w:val="20"/>
        </w:rPr>
        <w:t>Máquinas</w:t>
      </w:r>
      <w:r>
        <w:rPr>
          <w:rFonts w:cs="Arial" w:ascii="Arial" w:hAnsi="Arial"/>
          <w:spacing w:val="-1"/>
          <w:sz w:val="20"/>
        </w:rPr>
        <w:t xml:space="preserve"> </w:t>
      </w:r>
      <w:r>
        <w:rPr>
          <w:rFonts w:cs="Arial" w:ascii="Arial" w:hAnsi="Arial"/>
          <w:spacing w:val="-4"/>
          <w:sz w:val="20"/>
        </w:rPr>
        <w:t>deve:</w:t>
      </w:r>
    </w:p>
    <w:p>
      <w:pPr>
        <w:pStyle w:val="PargrafodaLista"/>
        <w:widowControl w:val="false"/>
        <w:tabs>
          <w:tab w:val="clear" w:pos="708"/>
          <w:tab w:val="left" w:pos="1984" w:leader="none"/>
          <w:tab w:val="left" w:pos="1987" w:leader="none"/>
        </w:tabs>
        <w:suppressAutoHyphens w:val="false"/>
        <w:autoSpaceDE w:val="false"/>
        <w:spacing w:lineRule="auto" w:line="276" w:before="97" w:after="0"/>
        <w:ind w:start="0" w:end="425"/>
        <w:rPr>
          <w:rFonts w:ascii="Arial" w:hAnsi="Arial" w:cs="Arial"/>
          <w:sz w:val="20"/>
          <w:szCs w:val="20"/>
          <w:lang w:val="pt-BR"/>
        </w:rPr>
      </w:pPr>
      <w:r>
        <w:rPr>
          <w:rFonts w:cs="Arial" w:ascii="Arial" w:hAnsi="Arial"/>
          <w:color w:val="0F1115"/>
          <w:sz w:val="20"/>
          <w:szCs w:val="20"/>
          <w:lang w:val="pt-BR"/>
        </w:rPr>
        <w:t>•</w:t>
      </w:r>
      <w:r>
        <w:rPr>
          <w:rFonts w:cs="Arial" w:ascii="Arial" w:hAnsi="Arial"/>
          <w:sz w:val="20"/>
          <w:szCs w:val="20"/>
          <w:lang w:val="pt-BR"/>
        </w:rPr>
        <w:t>Auxiliar o Condutor Maquinista Fluvial em todas as atividades, verificações e tarefas descritas nos itens 5.3 e 5.4.</w:t>
      </w:r>
    </w:p>
    <w:p>
      <w:pPr>
        <w:pStyle w:val="PargrafodaLista"/>
        <w:widowControl w:val="false"/>
        <w:tabs>
          <w:tab w:val="clear" w:pos="708"/>
          <w:tab w:val="left" w:pos="1984" w:leader="none"/>
          <w:tab w:val="left" w:pos="1987" w:leader="none"/>
        </w:tabs>
        <w:suppressAutoHyphens w:val="false"/>
        <w:autoSpaceDE w:val="false"/>
        <w:spacing w:lineRule="auto" w:line="276" w:before="59" w:after="0"/>
        <w:ind w:start="0" w:end="421"/>
        <w:rPr>
          <w:rFonts w:ascii="Arial" w:hAnsi="Arial" w:cs="Arial"/>
          <w:sz w:val="20"/>
          <w:szCs w:val="20"/>
          <w:lang w:val="pt-BR"/>
        </w:rPr>
      </w:pPr>
      <w:r>
        <w:rPr>
          <w:rFonts w:cs="Arial" w:ascii="Arial" w:hAnsi="Arial"/>
          <w:color w:val="0F1115"/>
          <w:sz w:val="20"/>
          <w:szCs w:val="20"/>
          <w:lang w:val="pt-BR"/>
        </w:rPr>
        <w:t>•</w:t>
      </w:r>
      <w:r>
        <w:rPr>
          <w:rFonts w:eastAsia="Arial" w:cs="Arial" w:ascii="Arial" w:hAnsi="Arial"/>
          <w:color w:val="0F1115"/>
          <w:sz w:val="20"/>
          <w:szCs w:val="20"/>
          <w:lang w:val="pt-BR"/>
        </w:rPr>
        <w:t xml:space="preserve"> </w:t>
      </w:r>
      <w:r>
        <w:rPr>
          <w:rFonts w:cs="Arial" w:ascii="Arial" w:hAnsi="Arial"/>
          <w:sz w:val="20"/>
          <w:szCs w:val="20"/>
          <w:lang w:val="pt-BR"/>
        </w:rPr>
        <w:t>Substituir o Condutor Maquinista Fluvial em seus períodos de descanso, realizando todas as atividades, verificações e tarefas descritas nos itens 5.3 e 5.4.</w:t>
      </w:r>
    </w:p>
    <w:p>
      <w:pPr>
        <w:pStyle w:val="NormalWeb"/>
        <w:shd w:fill="FFFFFF" w:val="clear"/>
        <w:spacing w:lineRule="atLeast" w:line="0" w:before="4" w:after="4"/>
        <w:rPr>
          <w:rFonts w:ascii="Arial" w:hAnsi="Arial" w:cs="Arial"/>
          <w:b/>
          <w:bCs/>
          <w:color w:val="0F1115"/>
          <w:sz w:val="20"/>
          <w:szCs w:val="20"/>
          <w:lang w:val="pt-BR" w:eastAsia="pt-BR"/>
        </w:rPr>
      </w:pPr>
      <w:r>
        <w:rPr>
          <w:rFonts w:cs="Arial" w:ascii="Arial" w:hAnsi="Arial"/>
          <w:b/>
          <w:bCs/>
          <w:color w:val="0F1115"/>
          <w:sz w:val="20"/>
          <w:szCs w:val="20"/>
          <w:lang w:val="pt-BR" w:eastAsia="pt-BR"/>
        </w:rPr>
      </w:r>
    </w:p>
    <w:p>
      <w:pPr>
        <w:pStyle w:val="NormalWeb"/>
        <w:shd w:fill="FFFFFF" w:val="clear"/>
        <w:spacing w:lineRule="atLeast" w:line="0" w:before="4" w:after="4"/>
        <w:rPr/>
      </w:pPr>
      <w:r>
        <w:rPr>
          <w:rFonts w:cs="Arial" w:ascii="Arial" w:hAnsi="Arial"/>
          <w:b/>
          <w:bCs/>
          <w:color w:val="0F1115"/>
          <w:lang w:eastAsia="pt-BR"/>
        </w:rPr>
        <w:t>4.7 Capitão Fluvial / Comandante</w:t>
      </w:r>
    </w:p>
    <w:p>
      <w:pPr>
        <w:pStyle w:val="NormalWeb"/>
        <w:shd w:fill="FFFFFF" w:val="clear"/>
        <w:spacing w:lineRule="atLeast" w:line="0" w:before="4" w:after="4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Web"/>
        <w:shd w:fill="FFFFFF" w:val="clear"/>
        <w:spacing w:lineRule="atLeast" w:line="0" w:before="4" w:after="4"/>
        <w:rPr>
          <w:rFonts w:ascii="Arial" w:hAnsi="Arial" w:cs="Arial"/>
          <w:color w:val="0F1115"/>
          <w:lang w:eastAsia="pt-BR"/>
        </w:rPr>
      </w:pPr>
      <w:r>
        <w:rPr>
          <w:rFonts w:cs="Arial" w:ascii="Arial" w:hAnsi="Arial"/>
          <w:color w:val="0F1115"/>
          <w:lang w:eastAsia="pt-BR"/>
        </w:rPr>
        <w:t>Responsável pela gestão da unidade e pela segurança da navegação.</w:t>
      </w:r>
    </w:p>
    <w:p>
      <w:pPr>
        <w:pStyle w:val="NormalWeb"/>
        <w:shd w:fill="FFFFFF" w:val="clear"/>
        <w:spacing w:lineRule="atLeast" w:line="0" w:before="4" w:after="4"/>
        <w:rPr>
          <w:rFonts w:ascii="Arial" w:hAnsi="Arial" w:cs="Arial"/>
          <w:color w:val="0F1115"/>
          <w:lang w:eastAsia="pt-BR"/>
        </w:rPr>
      </w:pPr>
      <w:r>
        <w:rPr>
          <w:rFonts w:cs="Arial" w:ascii="Arial" w:hAnsi="Arial"/>
          <w:color w:val="0F1115"/>
          <w:lang w:eastAsia="pt-BR"/>
        </w:rPr>
      </w:r>
    </w:p>
    <w:p>
      <w:pPr>
        <w:pStyle w:val="NormalWeb"/>
        <w:numPr>
          <w:ilvl w:val="0"/>
          <w:numId w:val="11"/>
        </w:numPr>
        <w:shd w:fill="FFFFFF" w:val="clear"/>
        <w:tabs>
          <w:tab w:val="clear" w:pos="708"/>
          <w:tab w:val="left" w:pos="360" w:leader="none"/>
        </w:tabs>
        <w:spacing w:lineRule="atLeast" w:line="0" w:before="0" w:after="0"/>
        <w:ind w:hanging="0" w:start="0" w:end="0"/>
        <w:jc w:val="both"/>
        <w:rPr>
          <w:rFonts w:ascii="Arial" w:hAnsi="Arial" w:cs="Arial"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  <w:t>Comunicação de Demandas:</w:t>
      </w:r>
      <w:r>
        <w:rPr>
          <w:rFonts w:cs="Arial" w:ascii="Arial" w:hAnsi="Arial"/>
          <w:color w:val="0F1115"/>
          <w:lang w:eastAsia="pt-BR"/>
        </w:rPr>
        <w:t xml:space="preserve"> Formalizar solicitações de manutenção via </w:t>
      </w:r>
      <w:r>
        <w:rPr>
          <w:rFonts w:cs="Arial" w:ascii="Arial" w:hAnsi="Arial"/>
          <w:b/>
          <w:bCs/>
          <w:color w:val="0F1115"/>
          <w:lang w:eastAsia="pt-BR"/>
        </w:rPr>
        <w:t>Autotrac</w:t>
      </w:r>
      <w:r>
        <w:rPr>
          <w:rFonts w:cs="Arial" w:ascii="Arial" w:hAnsi="Arial"/>
          <w:color w:val="0F1115"/>
          <w:lang w:eastAsia="pt-BR"/>
        </w:rPr>
        <w:t>, fundamentadas nos relatos técnicos da equipe de máquinas.</w:t>
      </w:r>
    </w:p>
    <w:p>
      <w:pPr>
        <w:pStyle w:val="NormalWeb"/>
        <w:numPr>
          <w:ilvl w:val="0"/>
          <w:numId w:val="11"/>
        </w:numPr>
        <w:shd w:fill="FFFFFF" w:val="clear"/>
        <w:tabs>
          <w:tab w:val="clear" w:pos="708"/>
          <w:tab w:val="left" w:pos="360" w:leader="none"/>
        </w:tabs>
        <w:spacing w:lineRule="atLeast" w:line="0" w:before="0" w:after="0"/>
        <w:ind w:hanging="0" w:start="0" w:end="0"/>
        <w:jc w:val="both"/>
        <w:rPr>
          <w:rFonts w:ascii="Arial" w:hAnsi="Arial" w:cs="Arial"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  <w:t>Fiscalização de Bordo:</w:t>
      </w:r>
      <w:r>
        <w:rPr>
          <w:rFonts w:cs="Arial" w:ascii="Arial" w:hAnsi="Arial"/>
          <w:color w:val="0F1115"/>
          <w:lang w:eastAsia="pt-BR"/>
        </w:rPr>
        <w:t xml:space="preserve"> Acompanhar as intervenções técnicas na embarcação para mitigar riscos operacionais e garantir que a logística da manutenção não comprometa a segurança da navegação.</w:t>
      </w:r>
    </w:p>
    <w:p>
      <w:pPr>
        <w:pStyle w:val="NormalWeb"/>
        <w:numPr>
          <w:ilvl w:val="0"/>
          <w:numId w:val="11"/>
        </w:numPr>
        <w:shd w:fill="FFFFFF" w:val="clear"/>
        <w:tabs>
          <w:tab w:val="clear" w:pos="708"/>
          <w:tab w:val="left" w:pos="360" w:leader="none"/>
        </w:tabs>
        <w:spacing w:lineRule="atLeast" w:line="0" w:before="0" w:after="0"/>
        <w:ind w:hanging="0" w:start="0" w:end="0"/>
        <w:jc w:val="both"/>
        <w:rPr>
          <w:rFonts w:ascii="Arial" w:hAnsi="Arial" w:cs="Arial"/>
          <w:color w:val="0F1115"/>
          <w:lang w:eastAsia="pt-BR"/>
        </w:rPr>
      </w:pPr>
      <w:r>
        <w:rPr>
          <w:rStyle w:val="Strong"/>
          <w:rFonts w:cs="Arial" w:ascii="Arial" w:hAnsi="Arial"/>
          <w:color w:val="0F1115"/>
        </w:rPr>
        <w:t>Parada de Emergência:</w:t>
      </w:r>
      <w:r>
        <w:rPr>
          <w:rFonts w:cs="Arial" w:ascii="Arial" w:hAnsi="Arial"/>
          <w:color w:val="0F1115"/>
        </w:rPr>
        <w:t> Autorizar ou determinar interrupção da operação em caso de risco iminente.</w:t>
      </w:r>
      <w:r>
        <w:rPr>
          <w:rStyle w:val="Strong"/>
          <w:rFonts w:cs="Arial" w:ascii="Arial" w:hAnsi="Arial"/>
          <w:color w:val="0F1115"/>
        </w:rPr>
        <w:t xml:space="preserve">      </w:t>
      </w:r>
    </w:p>
    <w:p>
      <w:pPr>
        <w:pStyle w:val="NormalWeb"/>
        <w:numPr>
          <w:ilvl w:val="0"/>
          <w:numId w:val="11"/>
        </w:numPr>
        <w:shd w:fill="FFFFFF" w:val="clear"/>
        <w:tabs>
          <w:tab w:val="clear" w:pos="708"/>
          <w:tab w:val="left" w:pos="360" w:leader="none"/>
        </w:tabs>
        <w:spacing w:lineRule="atLeast" w:line="0" w:before="0" w:after="0"/>
        <w:ind w:hanging="0" w:start="0" w:end="0"/>
        <w:jc w:val="both"/>
        <w:rPr>
          <w:rFonts w:ascii="Arial" w:hAnsi="Arial" w:cs="Arial"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  <w:t>Aceite Técnico:</w:t>
      </w:r>
      <w:r>
        <w:rPr>
          <w:rFonts w:cs="Arial" w:ascii="Arial" w:hAnsi="Arial"/>
          <w:color w:val="0F1115"/>
          <w:lang w:eastAsia="pt-BR"/>
        </w:rPr>
        <w:t xml:space="preserve"> Validar a conclusão dos serviços realizados, co-assinando os relatórios de entrega junto ao responsável técnico pela manutenção.</w:t>
      </w:r>
    </w:p>
    <w:p>
      <w:pPr>
        <w:pStyle w:val="NormalWeb"/>
        <w:shd w:fill="FFFFFF" w:val="clear"/>
        <w:tabs>
          <w:tab w:val="clear" w:pos="708"/>
          <w:tab w:val="left" w:pos="360" w:leader="none"/>
        </w:tabs>
        <w:spacing w:lineRule="atLeast" w:line="0" w:before="0" w:after="0"/>
        <w:jc w:val="both"/>
        <w:rPr>
          <w:rFonts w:ascii="Arial" w:hAnsi="Arial" w:cs="Arial"/>
          <w:color w:val="0F1115"/>
          <w:lang w:eastAsia="pt-BR"/>
        </w:rPr>
      </w:pPr>
      <w:r>
        <w:rPr>
          <w:rFonts w:cs="Arial" w:ascii="Arial" w:hAnsi="Arial"/>
          <w:color w:val="0F1115"/>
          <w:lang w:eastAsia="pt-BR"/>
        </w:rPr>
      </w:r>
    </w:p>
    <w:p>
      <w:pPr>
        <w:pStyle w:val="Normal"/>
        <w:shd w:fill="FFFFFF" w:val="clear"/>
        <w:suppressAutoHyphens w:val="false"/>
        <w:spacing w:lineRule="atLeast" w:line="0" w:before="4" w:after="4"/>
        <w:rPr/>
      </w:pPr>
      <w:r>
        <w:rPr>
          <w:rFonts w:cs="Arial" w:ascii="Arial" w:hAnsi="Arial"/>
          <w:b/>
          <w:bCs/>
          <w:lang w:eastAsia="pt-BR"/>
        </w:rPr>
        <w:t>4.8 Analista de Manutenção</w:t>
      </w:r>
    </w:p>
    <w:p>
      <w:pPr>
        <w:pStyle w:val="Normal"/>
        <w:shd w:fill="FFFFFF" w:val="clear"/>
        <w:suppressAutoHyphens w:val="false"/>
        <w:spacing w:lineRule="atLeast" w:line="0" w:before="4" w:after="4"/>
        <w:rPr>
          <w:rFonts w:ascii="Arial" w:hAnsi="Arial" w:cs="Arial"/>
          <w:i/>
          <w:i/>
          <w:iCs/>
          <w:lang w:eastAsia="pt-BR"/>
        </w:rPr>
      </w:pPr>
      <w:r>
        <w:rPr>
          <w:rFonts w:cs="Arial" w:ascii="Arial" w:hAnsi="Arial"/>
          <w:i/>
          <w:iCs/>
          <w:lang w:eastAsia="pt-BR"/>
        </w:rPr>
        <w:t>(Quando houver, Atuar sob supervisão direta do Supervisor de Manutenção)</w:t>
      </w:r>
    </w:p>
    <w:p>
      <w:pPr>
        <w:pStyle w:val="Normal"/>
        <w:shd w:fill="FFFFFF" w:val="clear"/>
        <w:suppressAutoHyphens w:val="false"/>
        <w:spacing w:lineRule="atLeast" w:line="0" w:before="4" w:after="4"/>
        <w:rPr>
          <w:rFonts w:ascii="Arial" w:hAnsi="Arial" w:cs="Arial"/>
          <w:i/>
          <w:i/>
          <w:iCs/>
          <w:lang w:eastAsia="pt-BR"/>
        </w:rPr>
      </w:pPr>
      <w:r>
        <w:rPr>
          <w:rFonts w:cs="Arial" w:ascii="Arial" w:hAnsi="Arial"/>
          <w:i/>
          <w:iCs/>
          <w:lang w:eastAsia="pt-BR"/>
        </w:rPr>
      </w:r>
    </w:p>
    <w:p>
      <w:pPr>
        <w:pStyle w:val="Normal"/>
        <w:shd w:fill="FFFFFF" w:val="clear"/>
        <w:suppressAutoHyphens w:val="false"/>
        <w:spacing w:lineRule="atLeast" w:line="0" w:before="4" w:after="4"/>
        <w:rPr>
          <w:rFonts w:ascii="Arial" w:hAnsi="Arial" w:cs="Arial"/>
          <w:lang w:eastAsia="pt-BR"/>
        </w:rPr>
      </w:pPr>
      <w:r>
        <w:rPr>
          <w:rFonts w:cs="Arial" w:ascii="Arial" w:hAnsi="Arial"/>
          <w:lang w:eastAsia="pt-BR"/>
        </w:rPr>
        <w:t>O Analista de Manutenção é responsável pelo suporte técnico-administrativo e pelo controle do fluxo de materiais e documentos. Suas atribuições incluem:</w:t>
      </w:r>
    </w:p>
    <w:p>
      <w:pPr>
        <w:pStyle w:val="Normal"/>
        <w:shd w:fill="FFFFFF" w:val="clear"/>
        <w:suppressAutoHyphens w:val="false"/>
        <w:spacing w:lineRule="atLeast" w:line="0" w:before="4" w:after="4"/>
        <w:rPr>
          <w:rFonts w:ascii="Arial" w:hAnsi="Arial" w:cs="Arial"/>
          <w:lang w:eastAsia="pt-BR"/>
        </w:rPr>
      </w:pPr>
      <w:r>
        <w:rPr>
          <w:rFonts w:cs="Arial" w:ascii="Arial" w:hAnsi="Arial"/>
          <w:lang w:eastAsia="pt-BR"/>
        </w:rPr>
      </w:r>
    </w:p>
    <w:p>
      <w:pPr>
        <w:pStyle w:val="Normal"/>
        <w:shd w:fill="FFFFFF" w:val="clear"/>
        <w:suppressAutoHyphens w:val="false"/>
        <w:spacing w:lineRule="atLeast" w:line="0" w:before="4" w:after="4"/>
        <w:rPr/>
      </w:pPr>
      <w:r>
        <w:rPr>
          <w:rFonts w:cs="Arial" w:ascii="Arial" w:hAnsi="Arial"/>
          <w:lang w:eastAsia="pt-BR"/>
        </w:rPr>
        <w:t>• </w:t>
      </w:r>
      <w:r>
        <w:rPr>
          <w:rFonts w:cs="Arial" w:ascii="Arial" w:hAnsi="Arial"/>
          <w:b/>
          <w:bCs/>
          <w:lang w:eastAsia="pt-BR"/>
        </w:rPr>
        <w:t>Ações corretivas de baixa complexidade:</w:t>
      </w:r>
      <w:r>
        <w:rPr>
          <w:rFonts w:cs="Arial" w:ascii="Arial" w:hAnsi="Arial"/>
          <w:lang w:eastAsia="pt-BR"/>
        </w:rPr>
        <w:t> Executar intervenções rápidas e de pequeno porte quando necessário, desde que não comprometam as atividades de gestão e supervisão.</w:t>
      </w:r>
    </w:p>
    <w:p>
      <w:pPr>
        <w:pStyle w:val="Normal"/>
        <w:shd w:fill="FFFFFF" w:val="clear"/>
        <w:suppressAutoHyphens w:val="false"/>
        <w:spacing w:lineRule="atLeast" w:line="0" w:before="4" w:after="4"/>
        <w:rPr/>
      </w:pPr>
      <w:r>
        <w:rPr>
          <w:rFonts w:cs="Arial" w:ascii="Arial" w:hAnsi="Arial"/>
          <w:lang w:eastAsia="pt-BR"/>
        </w:rPr>
        <w:t>• </w:t>
      </w:r>
      <w:r>
        <w:rPr>
          <w:rFonts w:cs="Arial" w:ascii="Arial" w:hAnsi="Arial"/>
          <w:b/>
          <w:bCs/>
          <w:lang w:eastAsia="pt-BR"/>
        </w:rPr>
        <w:t>Monitoramento da Equipe Técnica:</w:t>
      </w:r>
      <w:r>
        <w:rPr>
          <w:rFonts w:cs="Arial" w:ascii="Arial" w:hAnsi="Arial"/>
          <w:lang w:eastAsia="pt-BR"/>
        </w:rPr>
        <w:t xml:space="preserve"> Acompanhar e orientar o corpo técnico marítimo (CTF e MFM) no cumprimento dos cronogramas de manutenção, garantindo a correta execução dos processos internos.</w:t>
      </w:r>
    </w:p>
    <w:p>
      <w:pPr>
        <w:pStyle w:val="Normal"/>
        <w:shd w:fill="FFFFFF" w:val="clear"/>
        <w:suppressAutoHyphens w:val="false"/>
        <w:spacing w:lineRule="atLeast" w:line="0" w:before="4" w:after="4"/>
        <w:rPr/>
      </w:pPr>
      <w:r>
        <w:rPr>
          <w:rFonts w:cs="Arial" w:ascii="Arial" w:hAnsi="Arial"/>
          <w:lang w:eastAsia="pt-BR"/>
        </w:rPr>
        <w:t>• </w:t>
      </w:r>
      <w:r>
        <w:rPr>
          <w:rFonts w:cs="Arial" w:ascii="Arial" w:hAnsi="Arial"/>
          <w:b/>
          <w:bCs/>
          <w:lang w:eastAsia="pt-BR"/>
        </w:rPr>
        <w:t>Gestão de Insumos Críticos:</w:t>
      </w:r>
      <w:r>
        <w:rPr>
          <w:rFonts w:cs="Arial" w:ascii="Arial" w:hAnsi="Arial"/>
          <w:lang w:eastAsia="pt-BR"/>
        </w:rPr>
        <w:t xml:space="preserve"> Monitorar a vida útil de lubrificantes e fluidos, solicitando a troca de óleo ao Supervisor de Manutenção, de forma preventiva para evitar paradas não programadas.</w:t>
      </w:r>
    </w:p>
    <w:p>
      <w:pPr>
        <w:pStyle w:val="Normal"/>
        <w:shd w:fill="FFFFFF" w:val="clear"/>
        <w:suppressAutoHyphens w:val="false"/>
        <w:spacing w:lineRule="atLeast" w:line="0" w:before="4" w:after="4"/>
        <w:rPr/>
      </w:pPr>
      <w:r>
        <w:rPr>
          <w:rFonts w:cs="Arial" w:ascii="Arial" w:hAnsi="Arial"/>
          <w:lang w:eastAsia="pt-BR"/>
        </w:rPr>
        <w:t>• </w:t>
      </w:r>
      <w:r>
        <w:rPr>
          <w:rFonts w:cs="Arial" w:ascii="Arial" w:hAnsi="Arial"/>
          <w:b/>
          <w:bCs/>
          <w:lang w:eastAsia="pt-BR"/>
        </w:rPr>
        <w:t>Gestão de Suprimentos (Sankhya):</w:t>
      </w:r>
      <w:r>
        <w:rPr>
          <w:rFonts w:cs="Arial" w:ascii="Arial" w:hAnsi="Arial"/>
          <w:lang w:eastAsia="pt-BR"/>
        </w:rPr>
        <w:t xml:space="preserve"> Operar o sistema </w:t>
      </w:r>
      <w:r>
        <w:rPr>
          <w:rFonts w:cs="Arial" w:ascii="Arial" w:hAnsi="Arial"/>
          <w:b/>
          <w:bCs/>
          <w:lang w:eastAsia="pt-BR"/>
        </w:rPr>
        <w:t>Sankhya</w:t>
      </w:r>
      <w:r>
        <w:rPr>
          <w:rFonts w:cs="Arial" w:ascii="Arial" w:hAnsi="Arial"/>
          <w:lang w:eastAsia="pt-BR"/>
        </w:rPr>
        <w:t xml:space="preserve"> para a abertura de solicitações de compra (materiais/serviços) e requisições de estoque, garantindo que o almoxarifado atenda às demandas das ordens de manutenção.</w:t>
      </w:r>
    </w:p>
    <w:p>
      <w:pPr>
        <w:pStyle w:val="Normal"/>
        <w:shd w:fill="FFFFFF" w:val="clear"/>
        <w:suppressAutoHyphens w:val="false"/>
        <w:spacing w:lineRule="atLeast" w:line="0" w:before="4" w:after="4"/>
        <w:rPr>
          <w:rFonts w:ascii="Arial" w:hAnsi="Arial" w:cs="Arial"/>
          <w:lang w:eastAsia="pt-BR"/>
        </w:rPr>
      </w:pPr>
      <w:r>
        <w:rPr>
          <w:rFonts w:cs="Arial" w:ascii="Arial" w:hAnsi="Arial"/>
          <w:lang w:eastAsia="pt-BR"/>
        </w:rPr>
        <w:t>• </w:t>
      </w:r>
      <w:r>
        <w:rPr>
          <w:rFonts w:cs="Arial" w:ascii="Arial" w:hAnsi="Arial"/>
          <w:b/>
          <w:bCs/>
          <w:lang w:eastAsia="pt-BR"/>
        </w:rPr>
        <w:t>Controle Documental:</w:t>
      </w:r>
      <w:r>
        <w:rPr>
          <w:rFonts w:cs="Arial" w:ascii="Arial" w:hAnsi="Arial"/>
          <w:lang w:eastAsia="pt-BR"/>
        </w:rPr>
        <w:t xml:space="preserve"> Responsável pelo preenchimento e coleta de assinaturas das O.M – Ordem de manutenção, formulários, certificados de rastreabilidade e laudos de calibração, disponíveis para auditoria durante 5 anos.</w:t>
      </w:r>
    </w:p>
    <w:p>
      <w:pPr>
        <w:pStyle w:val="Normal"/>
        <w:shd w:fill="FFFFFF" w:val="clear"/>
        <w:suppressAutoHyphens w:val="false"/>
        <w:spacing w:lineRule="atLeast" w:line="0" w:before="4" w:after="4"/>
        <w:jc w:val="both"/>
        <w:rPr/>
      </w:pPr>
      <w:r>
        <w:rPr>
          <w:rFonts w:cs="Arial" w:ascii="Arial" w:hAnsi="Arial"/>
          <w:lang w:eastAsia="pt-BR"/>
        </w:rPr>
        <w:t>• </w:t>
      </w:r>
      <w:r>
        <w:rPr>
          <w:rFonts w:cs="Arial" w:ascii="Arial" w:hAnsi="Arial"/>
          <w:b/>
          <w:bCs/>
          <w:lang w:eastAsia="pt-BR"/>
        </w:rPr>
        <w:t>Comissionamento e Encerramento:</w:t>
      </w:r>
      <w:r>
        <w:rPr>
          <w:rFonts w:cs="Arial" w:ascii="Arial" w:hAnsi="Arial"/>
          <w:lang w:eastAsia="pt-BR"/>
        </w:rPr>
        <w:t xml:space="preserve"> Acompanhar o Supervisor de Manutenção quando solicitado na inspeção final em conjunto com as equipes envolvidas, emitindo o relatório de serviço que atesta a conformidade da intervenção realizada</w:t>
      </w:r>
    </w:p>
    <w:p>
      <w:pPr>
        <w:pStyle w:val="Normal"/>
        <w:shd w:fill="FFFFFF" w:val="clear"/>
        <w:suppressAutoHyphens w:val="false"/>
        <w:spacing w:lineRule="atLeast" w:line="0" w:before="4" w:after="4"/>
        <w:rPr/>
      </w:pPr>
      <w:r>
        <w:rPr>
          <w:rFonts w:cs="Arial" w:ascii="Arial" w:hAnsi="Arial"/>
          <w:lang w:eastAsia="pt-BR"/>
        </w:rPr>
        <w:t>• </w:t>
      </w:r>
      <w:r>
        <w:rPr>
          <w:rFonts w:cs="Arial" w:ascii="Arial" w:hAnsi="Arial"/>
          <w:b/>
          <w:bCs/>
          <w:lang w:eastAsia="pt-BR"/>
        </w:rPr>
        <w:t>Gestão do Acervo Técnico:</w:t>
      </w:r>
      <w:r>
        <w:rPr>
          <w:rFonts w:cs="Arial" w:ascii="Arial" w:hAnsi="Arial"/>
          <w:lang w:eastAsia="pt-BR"/>
        </w:rPr>
        <w:t xml:space="preserve"> Organizar e arquivar toda a documentação física e digital das manutenções, facilitando a rastreabilidade para auditorias e consultas futuras.</w:t>
      </w:r>
    </w:p>
    <w:p>
      <w:pPr>
        <w:pStyle w:val="Normal"/>
        <w:shd w:fill="FFFFFF" w:val="clear"/>
        <w:spacing w:lineRule="atLeast" w:line="0" w:before="4" w:after="4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Web"/>
        <w:shd w:fill="FFFFFF" w:val="clear"/>
        <w:spacing w:lineRule="atLeast" w:line="0" w:before="4" w:after="4"/>
        <w:rPr/>
      </w:pPr>
      <w:r>
        <w:rPr>
          <w:rFonts w:cs="Arial" w:ascii="Arial" w:hAnsi="Arial"/>
          <w:b/>
          <w:bCs/>
          <w:color w:val="0F1115"/>
          <w:lang w:eastAsia="pt-BR"/>
        </w:rPr>
        <w:t>4.9 Setor de Suprimentos</w:t>
      </w:r>
    </w:p>
    <w:p>
      <w:pPr>
        <w:pStyle w:val="NormalWeb"/>
        <w:shd w:fill="FFFFFF" w:val="clear"/>
        <w:spacing w:lineRule="atLeast" w:line="0" w:before="4" w:after="4"/>
        <w:jc w:val="both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Web"/>
        <w:shd w:fill="FFFFFF" w:val="clear"/>
        <w:spacing w:lineRule="atLeast" w:line="0" w:before="4" w:after="4"/>
        <w:jc w:val="both"/>
        <w:rPr>
          <w:rFonts w:ascii="Arial" w:hAnsi="Arial" w:cs="Arial"/>
          <w:color w:val="0F1115"/>
          <w:lang w:eastAsia="pt-BR"/>
        </w:rPr>
      </w:pPr>
      <w:r>
        <w:rPr>
          <w:rFonts w:cs="Arial" w:ascii="Arial" w:hAnsi="Arial"/>
          <w:color w:val="0F1115"/>
          <w:lang w:eastAsia="pt-BR"/>
        </w:rPr>
        <w:t>Responsável pela viabilidade material e logística reversa de resíduos.</w:t>
      </w:r>
    </w:p>
    <w:p>
      <w:pPr>
        <w:pStyle w:val="NormalWeb"/>
        <w:shd w:fill="FFFFFF" w:val="clear"/>
        <w:spacing w:lineRule="atLeast" w:line="0" w:before="4" w:after="4"/>
        <w:jc w:val="both"/>
        <w:rPr>
          <w:rFonts w:ascii="Arial" w:hAnsi="Arial" w:cs="Arial"/>
          <w:color w:val="0F1115"/>
          <w:lang w:eastAsia="pt-BR"/>
        </w:rPr>
      </w:pPr>
      <w:r>
        <w:rPr>
          <w:rFonts w:cs="Arial" w:ascii="Arial" w:hAnsi="Arial"/>
          <w:color w:val="0F1115"/>
          <w:lang w:eastAsia="pt-BR"/>
        </w:rPr>
      </w:r>
    </w:p>
    <w:p>
      <w:pPr>
        <w:pStyle w:val="NormalWeb"/>
        <w:shd w:fill="FFFFFF" w:val="clear"/>
        <w:spacing w:lineRule="atLeast" w:line="0" w:before="4" w:after="4"/>
        <w:jc w:val="both"/>
        <w:rPr>
          <w:rFonts w:ascii="Arial" w:hAnsi="Arial" w:cs="Arial"/>
          <w:color w:val="0F1115"/>
          <w:lang w:eastAsia="pt-BR"/>
        </w:rPr>
      </w:pPr>
      <w:r>
        <w:rPr>
          <w:rFonts w:cs="Arial" w:ascii="Arial" w:hAnsi="Arial"/>
          <w:lang w:eastAsia="pt-BR"/>
        </w:rPr>
        <w:t>• </w:t>
      </w:r>
      <w:r>
        <w:rPr>
          <w:rFonts w:eastAsia="Arial" w:cs="Arial" w:ascii="Arial" w:hAnsi="Arial"/>
          <w:lang w:eastAsia="pt-BR"/>
        </w:rPr>
        <w:t xml:space="preserve">  </w:t>
      </w:r>
      <w:r>
        <w:rPr>
          <w:rFonts w:cs="Arial" w:ascii="Arial" w:hAnsi="Arial"/>
          <w:b/>
          <w:bCs/>
          <w:color w:val="0F1115"/>
          <w:lang w:eastAsia="pt-BR"/>
        </w:rPr>
        <w:t xml:space="preserve">Gestão de estoque: </w:t>
      </w:r>
      <w:r>
        <w:rPr>
          <w:rFonts w:cs="Arial" w:ascii="Arial" w:hAnsi="Arial"/>
          <w:color w:val="0F1115"/>
          <w:lang w:eastAsia="pt-BR"/>
        </w:rPr>
        <w:t>manter o estoque mínimo do item 5.6.1 e repor os itens utilizados.</w:t>
      </w:r>
    </w:p>
    <w:p>
      <w:pPr>
        <w:pStyle w:val="NormalWeb"/>
        <w:shd w:fill="FFFFFF" w:val="clear"/>
        <w:spacing w:lineRule="atLeast" w:line="0" w:before="4" w:after="4"/>
        <w:jc w:val="both"/>
        <w:rPr/>
      </w:pPr>
      <w:r>
        <w:rPr>
          <w:rFonts w:cs="Arial" w:ascii="Arial" w:hAnsi="Arial"/>
          <w:lang w:eastAsia="pt-BR"/>
        </w:rPr>
        <w:t>• </w:t>
      </w:r>
      <w:r>
        <w:rPr>
          <w:rFonts w:eastAsia="Arial" w:cs="Arial" w:ascii="Arial" w:hAnsi="Arial"/>
          <w:lang w:eastAsia="pt-BR"/>
        </w:rPr>
        <w:t xml:space="preserve"> </w:t>
      </w:r>
      <w:r>
        <w:rPr>
          <w:rFonts w:cs="Arial" w:ascii="Arial" w:hAnsi="Arial"/>
          <w:b/>
          <w:bCs/>
          <w:color w:val="0F1115"/>
          <w:lang w:eastAsia="pt-BR"/>
        </w:rPr>
        <w:t>Recebimento e Qualidade:</w:t>
      </w:r>
      <w:r>
        <w:rPr>
          <w:rFonts w:cs="Arial" w:ascii="Arial" w:hAnsi="Arial"/>
          <w:color w:val="0F1115"/>
          <w:lang w:eastAsia="pt-BR"/>
        </w:rPr>
        <w:t xml:space="preserve"> Conferir e atestar a conformidade técnica dos materiais recebidos (certificados, quantidades e especificações) antes da entrega à equipe técnica.</w:t>
      </w:r>
    </w:p>
    <w:p>
      <w:pPr>
        <w:pStyle w:val="NormalWeb"/>
        <w:shd w:fill="FFFFFF" w:val="clear"/>
        <w:spacing w:lineRule="atLeast" w:line="0" w:before="4" w:after="4"/>
        <w:jc w:val="both"/>
        <w:rPr/>
      </w:pPr>
      <w:r>
        <w:rPr>
          <w:rFonts w:cs="Arial" w:ascii="Arial" w:hAnsi="Arial"/>
          <w:lang w:eastAsia="pt-BR"/>
        </w:rPr>
        <w:t>• </w:t>
      </w:r>
      <w:r>
        <w:rPr>
          <w:rFonts w:eastAsia="Arial" w:cs="Arial" w:ascii="Arial" w:hAnsi="Arial"/>
          <w:lang w:eastAsia="pt-BR"/>
        </w:rPr>
        <w:t xml:space="preserve"> </w:t>
      </w:r>
      <w:r>
        <w:rPr>
          <w:rFonts w:cs="Arial" w:ascii="Arial" w:hAnsi="Arial"/>
          <w:b/>
          <w:bCs/>
          <w:color w:val="0F1115"/>
          <w:lang w:eastAsia="pt-BR"/>
        </w:rPr>
        <w:t>Logística Reversa Ambiental:</w:t>
      </w:r>
      <w:r>
        <w:rPr>
          <w:rFonts w:cs="Arial" w:ascii="Arial" w:hAnsi="Arial"/>
          <w:color w:val="0F1115"/>
          <w:lang w:eastAsia="pt-BR"/>
        </w:rPr>
        <w:t xml:space="preserve"> Coordenar o descarte final de resíduos perigosos junto a prestadores licenciados, garantindo a emissão dos certificados de destinação final em conformidade com o SGI.</w:t>
      </w:r>
    </w:p>
    <w:p>
      <w:pPr>
        <w:pStyle w:val="NormalWeb"/>
        <w:shd w:fill="FFFFFF" w:val="clear"/>
        <w:spacing w:lineRule="atLeast" w:line="0" w:before="4" w:after="4"/>
        <w:rPr>
          <w:rFonts w:ascii="Arial" w:hAnsi="Arial" w:cs="Arial"/>
          <w:color w:val="0F1115"/>
          <w:lang w:eastAsia="pt-BR"/>
        </w:rPr>
      </w:pPr>
      <w:r>
        <w:rPr>
          <w:rFonts w:cs="Arial" w:ascii="Arial" w:hAnsi="Arial"/>
          <w:color w:val="0F1115"/>
          <w:lang w:eastAsia="pt-BR"/>
        </w:rPr>
      </w:r>
    </w:p>
    <w:p>
      <w:pPr>
        <w:pStyle w:val="NormalWeb"/>
        <w:shd w:fill="FFFFFF" w:val="clear"/>
        <w:spacing w:lineRule="atLeast" w:line="0" w:before="4" w:after="4"/>
        <w:rPr/>
      </w:pPr>
      <w:r>
        <w:rPr>
          <w:rFonts w:cs="Arial" w:ascii="Arial" w:hAnsi="Arial"/>
          <w:b/>
          <w:bCs/>
          <w:color w:val="0F1115"/>
          <w:lang w:eastAsia="pt-BR"/>
        </w:rPr>
        <w:t>4.10 Concessionária / Assistência Técnica Autorizada</w:t>
      </w:r>
    </w:p>
    <w:p>
      <w:pPr>
        <w:pStyle w:val="NormalWeb"/>
        <w:shd w:fill="FFFFFF" w:val="clear"/>
        <w:spacing w:lineRule="atLeast" w:line="0" w:before="4" w:after="4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Web"/>
        <w:shd w:fill="FFFFFF" w:val="clear"/>
        <w:spacing w:lineRule="atLeast" w:line="0" w:before="4" w:after="4"/>
        <w:rPr>
          <w:rFonts w:ascii="Arial" w:hAnsi="Arial" w:cs="Arial"/>
          <w:color w:val="0F1115"/>
          <w:lang w:eastAsia="pt-BR"/>
        </w:rPr>
      </w:pPr>
      <w:r>
        <w:rPr>
          <w:rFonts w:cs="Arial" w:ascii="Arial" w:hAnsi="Arial"/>
          <w:color w:val="0F1115"/>
          <w:lang w:eastAsia="pt-BR"/>
        </w:rPr>
        <w:t>Agentes externos responsáveis pela garantia e intervenções de alta complexidade.</w:t>
      </w:r>
    </w:p>
    <w:p>
      <w:pPr>
        <w:pStyle w:val="NormalWeb"/>
        <w:shd w:fill="FFFFFF" w:val="clear"/>
        <w:spacing w:lineRule="atLeast" w:line="0" w:before="4" w:after="4"/>
        <w:rPr>
          <w:rFonts w:ascii="Arial" w:hAnsi="Arial" w:cs="Arial"/>
          <w:color w:val="0F1115"/>
          <w:lang w:eastAsia="pt-BR"/>
        </w:rPr>
      </w:pPr>
      <w:r>
        <w:rPr>
          <w:rFonts w:cs="Arial" w:ascii="Arial" w:hAnsi="Arial"/>
          <w:color w:val="0F1115"/>
          <w:lang w:eastAsia="pt-BR"/>
        </w:rPr>
      </w:r>
    </w:p>
    <w:p>
      <w:pPr>
        <w:pStyle w:val="NormalWeb"/>
        <w:numPr>
          <w:ilvl w:val="0"/>
          <w:numId w:val="9"/>
        </w:numPr>
        <w:shd w:fill="FFFFFF" w:val="clear"/>
        <w:tabs>
          <w:tab w:val="clear" w:pos="708"/>
          <w:tab w:val="left" w:pos="360" w:leader="none"/>
        </w:tabs>
        <w:spacing w:lineRule="atLeast" w:line="0" w:before="4" w:after="4"/>
        <w:ind w:hanging="0" w:start="0" w:end="0"/>
        <w:jc w:val="both"/>
        <w:rPr>
          <w:rFonts w:ascii="Arial" w:hAnsi="Arial" w:cs="Arial"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  <w:t>Garantia:</w:t>
      </w:r>
      <w:r>
        <w:rPr>
          <w:rFonts w:cs="Arial" w:ascii="Arial" w:hAnsi="Arial"/>
          <w:color w:val="0F1115"/>
          <w:lang w:eastAsia="pt-BR"/>
        </w:rPr>
        <w:t xml:space="preserve"> Executar reparos e substituições utilizando exclusivamente peças originais e métodos homologados, preservando a garantia contratual dos motores e equipamentos.</w:t>
      </w:r>
    </w:p>
    <w:p>
      <w:pPr>
        <w:pStyle w:val="NormalWeb"/>
        <w:numPr>
          <w:ilvl w:val="0"/>
          <w:numId w:val="9"/>
        </w:numPr>
        <w:shd w:fill="FFFFFF" w:val="clear"/>
        <w:tabs>
          <w:tab w:val="clear" w:pos="708"/>
          <w:tab w:val="left" w:pos="360" w:leader="none"/>
        </w:tabs>
        <w:spacing w:lineRule="atLeast" w:line="0" w:before="4" w:after="4"/>
        <w:ind w:hanging="0" w:start="0" w:end="0"/>
        <w:jc w:val="both"/>
        <w:rPr>
          <w:rFonts w:ascii="Arial" w:hAnsi="Arial" w:cs="Arial"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  <w:t>Especialização Técnica:</w:t>
      </w:r>
      <w:r>
        <w:rPr>
          <w:rFonts w:cs="Arial" w:ascii="Arial" w:hAnsi="Arial"/>
          <w:color w:val="0F1115"/>
          <w:lang w:eastAsia="pt-BR"/>
        </w:rPr>
        <w:t xml:space="preserve"> Disponibilizar mão de obra qualificada e ferramentas de diagnóstico avançadas para manutenções preditivas, inspeções detalhadas e reparos de alta complexidade.</w:t>
      </w:r>
    </w:p>
    <w:p>
      <w:pPr>
        <w:pStyle w:val="NormalWeb"/>
        <w:shd w:fill="FFFFFF" w:val="clear"/>
        <w:tabs>
          <w:tab w:val="clear" w:pos="708"/>
          <w:tab w:val="left" w:pos="360" w:leader="none"/>
        </w:tabs>
        <w:spacing w:lineRule="atLeast" w:line="0" w:before="4" w:after="4"/>
        <w:jc w:val="both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Web"/>
        <w:shd w:fill="FFFFFF" w:val="clear"/>
        <w:tabs>
          <w:tab w:val="clear" w:pos="708"/>
          <w:tab w:val="left" w:pos="360" w:leader="none"/>
        </w:tabs>
        <w:spacing w:lineRule="atLeast" w:line="0" w:before="4" w:after="4"/>
        <w:jc w:val="both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Web"/>
        <w:shd w:fill="FFFFFF" w:val="clear"/>
        <w:tabs>
          <w:tab w:val="clear" w:pos="708"/>
          <w:tab w:val="left" w:pos="360" w:leader="none"/>
        </w:tabs>
        <w:spacing w:lineRule="atLeast" w:line="0" w:before="4" w:after="4"/>
        <w:jc w:val="both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"/>
        <w:spacing w:before="120" w:after="80"/>
        <w:jc w:val="both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t>4.11 Tecnologia da Informação – T.I.</w:t>
      </w:r>
    </w:p>
    <w:p>
      <w:pPr>
        <w:pStyle w:val="Normal"/>
        <w:spacing w:lineRule="auto" w:line="276" w:before="0" w:after="70"/>
        <w:jc w:val="both"/>
        <w:rPr/>
      </w:pPr>
      <w:r>
        <w:rPr>
          <w:rFonts w:eastAsia="Arial" w:cs="Arial" w:ascii="Arial" w:hAnsi="Arial"/>
          <w:sz w:val="22"/>
          <w:szCs w:val="22"/>
        </w:rPr>
        <w:t xml:space="preserve">• </w:t>
      </w:r>
      <w:r>
        <w:rPr>
          <w:rFonts w:eastAsia="Arial" w:cs="Arial" w:ascii="Arial" w:hAnsi="Arial"/>
          <w:b/>
          <w:bCs/>
          <w:sz w:val="22"/>
          <w:szCs w:val="22"/>
        </w:rPr>
        <w:t>Equipamentos eletrônicos de navegação e comunicação:</w:t>
      </w:r>
      <w:r>
        <w:rPr>
          <w:rFonts w:eastAsia="Arial" w:cs="Arial" w:ascii="Arial" w:hAnsi="Arial"/>
          <w:sz w:val="22"/>
          <w:szCs w:val="22"/>
        </w:rPr>
        <w:t xml:space="preserve"> responsável pelo controle, histórico, reparo, configuração e terceirização da assistência técnica de Radar, GPS, AIS, Ecobatímetro, Autotrac, CFTV e Rádio VHF, conforme item 5.12.</w:t>
      </w:r>
    </w:p>
    <w:p>
      <w:pPr>
        <w:pStyle w:val="NormalWeb"/>
        <w:shd w:fill="FFFFFF" w:val="clear"/>
        <w:tabs>
          <w:tab w:val="clear" w:pos="708"/>
          <w:tab w:val="left" w:pos="360" w:leader="none"/>
        </w:tabs>
        <w:spacing w:lineRule="atLeast" w:line="0" w:before="4" w:after="4"/>
        <w:jc w:val="both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Web"/>
        <w:shd w:fill="FFFFFF" w:val="clear"/>
        <w:tabs>
          <w:tab w:val="clear" w:pos="708"/>
          <w:tab w:val="left" w:pos="360" w:leader="none"/>
        </w:tabs>
        <w:spacing w:lineRule="atLeast" w:line="0" w:before="4" w:after="4"/>
        <w:jc w:val="both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Web"/>
        <w:shd w:fill="FFFFFF" w:val="clear"/>
        <w:tabs>
          <w:tab w:val="clear" w:pos="708"/>
          <w:tab w:val="left" w:pos="360" w:leader="none"/>
        </w:tabs>
        <w:suppressAutoHyphens w:val="false"/>
        <w:spacing w:lineRule="atLeast" w:line="0" w:before="100" w:after="100"/>
        <w:jc w:val="both"/>
        <w:rPr>
          <w:rFonts w:ascii="Arial" w:hAnsi="Arial" w:cs="Arial"/>
          <w:color w:val="0F1115"/>
          <w:lang w:eastAsia="pt-BR"/>
        </w:rPr>
      </w:pPr>
      <w:r>
        <w:rPr>
          <w:rFonts w:cs="Arial" w:ascii="Arial" w:hAnsi="Arial"/>
          <w:color w:val="0F1115"/>
          <w:lang w:eastAsia="pt-BR"/>
        </w:rPr>
      </w:r>
    </w:p>
    <w:p>
      <w:pPr>
        <w:pStyle w:val="Normal"/>
        <w:shd w:fill="FFFFFF" w:val="clear"/>
        <w:suppressAutoHyphens w:val="false"/>
        <w:spacing w:lineRule="atLeast" w:line="0" w:before="4" w:after="4"/>
        <w:rPr/>
      </w:pPr>
      <w:r>
        <w:rPr>
          <w:rFonts w:cs="Arial" w:ascii="Arial" w:hAnsi="Arial"/>
          <w:b/>
          <w:bCs/>
          <w:color w:val="0F1115"/>
          <w:sz w:val="24"/>
          <w:szCs w:val="24"/>
          <w:lang w:eastAsia="pt-BR"/>
        </w:rPr>
        <w:t>5. DESCRIÇÃO DO PROCEDIMENTO</w:t>
      </w:r>
    </w:p>
    <w:p>
      <w:pPr>
        <w:pStyle w:val="Normal"/>
        <w:shd w:fill="FFFFFF" w:val="clear"/>
        <w:spacing w:lineRule="atLeast" w:line="0" w:before="4" w:after="4"/>
        <w:jc w:val="both"/>
        <w:rPr>
          <w:rFonts w:ascii="Arial" w:hAnsi="Arial" w:cs="Arial"/>
          <w:b/>
          <w:bCs/>
          <w:color w:val="0F1115"/>
          <w:sz w:val="24"/>
          <w:szCs w:val="24"/>
          <w:lang w:eastAsia="pt-BR"/>
        </w:rPr>
      </w:pPr>
      <w:r>
        <w:rPr>
          <w:rFonts w:cs="Arial" w:ascii="Arial" w:hAnsi="Arial"/>
          <w:b/>
          <w:bCs/>
          <w:color w:val="0F1115"/>
          <w:sz w:val="24"/>
          <w:szCs w:val="24"/>
          <w:lang w:eastAsia="pt-BR"/>
        </w:rPr>
      </w:r>
    </w:p>
    <w:p>
      <w:pPr>
        <w:pStyle w:val="ds-markdown-paragraph"/>
        <w:rPr/>
      </w:pPr>
      <w:r>
        <w:rPr>
          <w:rFonts w:eastAsia="Arial" w:cs="Arial" w:ascii="Arial" w:hAnsi="Arial"/>
          <w:sz w:val="20"/>
          <w:szCs w:val="20"/>
        </w:rPr>
        <w:t xml:space="preserve">      </w:t>
      </w:r>
      <w:r>
        <w:rPr>
          <w:rFonts w:cs="Arial" w:ascii="Arial" w:hAnsi="Arial"/>
          <w:sz w:val="20"/>
          <w:szCs w:val="20"/>
        </w:rPr>
        <w:t>A gestão da manutenção dos empurradores atende às especificações dos fabricantes e à legislação aplicável, visando assegurar:</w:t>
      </w:r>
    </w:p>
    <w:p>
      <w:pPr>
        <w:pStyle w:val="ds-markdown-paragraph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numPr>
          <w:ilvl w:val="0"/>
          <w:numId w:val="4"/>
        </w:numPr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Disponibilidade operacional ≥ 95% (meta estabelecida);</w:t>
      </w:r>
    </w:p>
    <w:p>
      <w:pPr>
        <w:pStyle w:val="ds-markdown-paragraph"/>
        <w:numPr>
          <w:ilvl w:val="0"/>
          <w:numId w:val="4"/>
        </w:numPr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Integridade estrutural dos ativos;</w:t>
      </w:r>
    </w:p>
    <w:p>
      <w:pPr>
        <w:pStyle w:val="ds-markdown-paragraph"/>
        <w:numPr>
          <w:ilvl w:val="0"/>
          <w:numId w:val="4"/>
        </w:numPr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Segurança da tripulação;</w:t>
      </w:r>
    </w:p>
    <w:p>
      <w:pPr>
        <w:pStyle w:val="ds-markdown-paragraph"/>
        <w:numPr>
          <w:ilvl w:val="0"/>
          <w:numId w:val="4"/>
        </w:numPr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Prevenção de danos ambientais.</w:t>
      </w:r>
    </w:p>
    <w:p>
      <w:pPr>
        <w:pStyle w:val="ds-markdown-paragraph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spacing w:lineRule="atLeast" w:line="0" w:before="4" w:after="4"/>
        <w:rPr/>
      </w:pPr>
      <w:r>
        <w:rPr>
          <w:rFonts w:cs="Arial" w:ascii="Arial" w:hAnsi="Arial"/>
          <w:b/>
          <w:bCs/>
          <w:sz w:val="20"/>
          <w:szCs w:val="20"/>
        </w:rPr>
        <w:t>5.1 Ferramentas de monitoramento:</w:t>
      </w:r>
    </w:p>
    <w:p>
      <w:pPr>
        <w:pStyle w:val="ds-markdown-paragraph"/>
        <w:spacing w:lineRule="atLeast" w:line="0" w:before="4" w:after="4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ds-markdown-paragraph"/>
        <w:numPr>
          <w:ilvl w:val="0"/>
          <w:numId w:val="15"/>
        </w:numPr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Sankhya (ERP): gestão de ordens de manutenção (OM), solicitações de compra, requisições de estoque e custos.</w:t>
      </w:r>
    </w:p>
    <w:p>
      <w:pPr>
        <w:pStyle w:val="ds-markdown-paragraph"/>
        <w:numPr>
          <w:ilvl w:val="0"/>
          <w:numId w:val="15"/>
        </w:numPr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ClickUp (workflow): acompanhamento operacional, cronogramas e checklists.</w:t>
      </w:r>
    </w:p>
    <w:p>
      <w:pPr>
        <w:pStyle w:val="ds-markdown-paragraph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spacing w:lineRule="atLeast" w:line="0" w:before="4" w:after="4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 xml:space="preserve">5.2 Estratégia da manutenção: </w:t>
      </w:r>
    </w:p>
    <w:p>
      <w:pPr>
        <w:pStyle w:val="ds-markdown-paragraph"/>
        <w:spacing w:lineRule="atLeast" w:line="0" w:before="4" w:after="4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ds-markdown-paragraph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      </w:t>
      </w:r>
      <w:r>
        <w:rPr>
          <w:rFonts w:cs="Arial" w:ascii="Arial" w:hAnsi="Arial"/>
          <w:sz w:val="20"/>
          <w:szCs w:val="20"/>
        </w:rPr>
        <w:t>• estruturada em três pilares;</w:t>
      </w:r>
    </w:p>
    <w:p>
      <w:pPr>
        <w:pStyle w:val="ds-markdown-paragraph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9918" w:type="dxa"/>
        <w:jc w:val="start"/>
        <w:tblInd w:w="75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600"/>
        <w:gridCol w:w="3207"/>
        <w:gridCol w:w="4111"/>
      </w:tblGrid>
      <w:tr>
        <w:trPr>
          <w:trHeight w:val="300" w:hRule="atLeast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ind w:firstLine="200" w:end="0"/>
              <w:jc w:val="center"/>
              <w:rPr>
                <w:rFonts w:ascii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cs="Arial" w:ascii="Arial" w:hAnsi="Arial"/>
                <w:b/>
                <w:bCs/>
                <w:color w:val="000000"/>
                <w:lang w:eastAsia="pt-BR"/>
              </w:rPr>
              <w:t>Tipo</w:t>
            </w:r>
          </w:p>
        </w:tc>
        <w:tc>
          <w:tcPr>
            <w:tcW w:w="320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ind w:firstLine="200" w:end="0"/>
              <w:jc w:val="center"/>
              <w:rPr>
                <w:rFonts w:ascii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cs="Arial" w:ascii="Arial" w:hAnsi="Arial"/>
                <w:b/>
                <w:bCs/>
                <w:color w:val="000000"/>
                <w:lang w:eastAsia="pt-BR"/>
              </w:rPr>
              <w:t>Critério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ind w:firstLine="200" w:end="0"/>
              <w:jc w:val="center"/>
              <w:rPr>
                <w:rFonts w:ascii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cs="Arial" w:ascii="Arial" w:hAnsi="Arial"/>
                <w:b/>
                <w:bCs/>
                <w:color w:val="000000"/>
                <w:lang w:eastAsia="pt-BR"/>
              </w:rPr>
              <w:t>Ação</w:t>
            </w:r>
          </w:p>
        </w:tc>
      </w:tr>
      <w:tr>
        <w:trPr>
          <w:trHeight w:val="300" w:hRule="atLeast"/>
        </w:trPr>
        <w:tc>
          <w:tcPr>
            <w:tcW w:w="2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ind w:firstLine="200" w:end="0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Preventiva sistemática</w:t>
            </w:r>
          </w:p>
        </w:tc>
        <w:tc>
          <w:tcPr>
            <w:tcW w:w="320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ind w:firstLine="200" w:end="0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Tempo ou ciclo (conforme plano aprovado)</w:t>
            </w:r>
          </w:p>
        </w:tc>
        <w:tc>
          <w:tcPr>
            <w:tcW w:w="411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ind w:firstLine="200" w:end="0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Intervenção programada</w:t>
            </w:r>
          </w:p>
        </w:tc>
      </w:tr>
      <w:tr>
        <w:trPr>
          <w:trHeight w:val="300" w:hRule="atLeast"/>
        </w:trPr>
        <w:tc>
          <w:tcPr>
            <w:tcW w:w="2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ind w:firstLine="200" w:end="0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Preditiva (condição)</w:t>
            </w:r>
          </w:p>
        </w:tc>
        <w:tc>
          <w:tcPr>
            <w:tcW w:w="320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70"/>
              <w:rPr/>
            </w:pPr>
            <w:r>
              <w:rPr>
                <w:rFonts w:eastAsia="Arial" w:cs="Arial" w:ascii="Arial" w:hAnsi="Arial"/>
              </w:rPr>
              <w:t>Teste de compressão a cada 1.000 h, análise de óleo semestral em rodízio e tendência trimestral de parâmetros</w:t>
            </w:r>
          </w:p>
          <w:p>
            <w:pPr>
              <w:pStyle w:val="Normal"/>
              <w:suppressAutoHyphens w:val="false"/>
              <w:ind w:firstLine="200" w:end="0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</w:r>
          </w:p>
        </w:tc>
        <w:tc>
          <w:tcPr>
            <w:tcW w:w="411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ind w:firstLine="200" w:end="0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Intervenção antes da falha</w:t>
            </w:r>
          </w:p>
        </w:tc>
      </w:tr>
      <w:tr>
        <w:trPr>
          <w:trHeight w:val="300" w:hRule="atLeast"/>
        </w:trPr>
        <w:tc>
          <w:tcPr>
            <w:tcW w:w="2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ind w:firstLine="200" w:end="0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Corretiva</w:t>
            </w:r>
          </w:p>
        </w:tc>
        <w:tc>
          <w:tcPr>
            <w:tcW w:w="320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ind w:firstLine="200" w:end="0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Ocorrência de falha</w:t>
            </w:r>
          </w:p>
        </w:tc>
        <w:tc>
          <w:tcPr>
            <w:tcW w:w="411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ind w:firstLine="200" w:end="0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Restauração da função + análise de causa raiz</w:t>
            </w:r>
          </w:p>
        </w:tc>
      </w:tr>
    </w:tbl>
    <w:p>
      <w:pPr>
        <w:pStyle w:val="ds-markdown-paragraph"/>
        <w:spacing w:lineRule="atLeast" w:line="0" w:before="4" w:after="4"/>
        <w:rPr>
          <w:rFonts w:ascii="Arial" w:hAnsi="Arial" w:cs="Arial"/>
          <w:b/>
          <w:bCs/>
          <w:color w:val="0070C0"/>
          <w:sz w:val="20"/>
          <w:szCs w:val="20"/>
        </w:rPr>
      </w:pPr>
      <w:r>
        <w:rPr>
          <w:rFonts w:cs="Arial" w:ascii="Arial" w:hAnsi="Arial"/>
          <w:b/>
          <w:bCs/>
          <w:color w:val="0070C0"/>
          <w:sz w:val="20"/>
          <w:szCs w:val="20"/>
        </w:rPr>
      </w:r>
    </w:p>
    <w:p>
      <w:pPr>
        <w:pStyle w:val="ds-markdown-paragraph"/>
        <w:spacing w:lineRule="atLeast" w:line="0" w:before="4" w:after="4"/>
        <w:rPr>
          <w:rFonts w:ascii="Arial" w:hAnsi="Arial" w:cs="Arial"/>
          <w:b/>
          <w:bCs/>
          <w:color w:val="0070C0"/>
          <w:sz w:val="20"/>
          <w:szCs w:val="20"/>
        </w:rPr>
      </w:pPr>
      <w:r>
        <w:rPr>
          <w:rFonts w:cs="Arial" w:ascii="Arial" w:hAnsi="Arial"/>
          <w:b/>
          <w:bCs/>
          <w:color w:val="0070C0"/>
          <w:sz w:val="20"/>
          <w:szCs w:val="20"/>
        </w:rPr>
      </w:r>
    </w:p>
    <w:p>
      <w:pPr>
        <w:pStyle w:val="ds-markdown-paragraph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spacing w:lineRule="atLeast" w:line="0" w:before="4" w:after="4"/>
        <w:jc w:val="both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 xml:space="preserve">"Nota: Toda intervenção corretiva deve ser formalizada por meio de Ordem de Manutenção (OM) no sistema Sankhya, com anexação do registro fotográfico (antes e depois). </w:t>
      </w:r>
      <w:r>
        <w:rPr>
          <w:rFonts w:cs="Arial" w:ascii="Arial" w:hAnsi="Arial"/>
          <w:b/>
          <w:bCs/>
          <w:sz w:val="16"/>
          <w:szCs w:val="16"/>
        </w:rPr>
        <w:t>O Anexo II</w:t>
      </w:r>
      <w:r>
        <w:rPr>
          <w:rFonts w:cs="Arial" w:ascii="Arial" w:hAnsi="Arial"/>
          <w:sz w:val="16"/>
          <w:szCs w:val="16"/>
        </w:rPr>
        <w:t xml:space="preserve"> – Registro de Manutenção é obrigatório nas falhas classificadas como Crítica ou Alta. Nas falhas Média e Baixa, a descrição do serviço executado é registrada no encerramento da OM. Nos serviços de terceiros, o relatório técnico do fornecedor é anexado ao Anexo II (item 5.8). Quando aplicável, anexar o Registro de Não Conformidade (RNC). A análise de causa raiz deve ser documentada na RNC e, quando aplicável, resultar na revisão do plano de manutenção preventiva."</w:t>
      </w:r>
    </w:p>
    <w:p>
      <w:pPr>
        <w:pStyle w:val="ds-markdown-paragraph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      </w:t>
      </w:r>
    </w:p>
    <w:p>
      <w:pPr>
        <w:pStyle w:val="Normal"/>
        <w:spacing w:before="120" w:after="120"/>
        <w:jc w:val="both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t>5.3 Inspeção antes da saída (no porto)</w:t>
      </w:r>
    </w:p>
    <w:p>
      <w:pPr>
        <w:pStyle w:val="Normal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Antes de ligar os motores para a saída, a Equipe de Máquinas deve:</w:t>
      </w:r>
    </w:p>
    <w:p>
      <w:pPr>
        <w:pStyle w:val="Normal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• Drenar o filtro separador de diesel dos MCPs e MCAs;</w:t>
      </w:r>
    </w:p>
    <w:p>
      <w:pPr>
        <w:pStyle w:val="Normal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• Drenar o tanque de serviço;</w:t>
      </w:r>
    </w:p>
    <w:p>
      <w:pPr>
        <w:pStyle w:val="Normal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• Verificar o nível de óleo lubrificante dos MCPs, MCAs e reversores;</w:t>
      </w:r>
    </w:p>
    <w:p>
      <w:pPr>
        <w:pStyle w:val="Normal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• Verificar o nível do líquido de arrefecimento dos MCPs e MCAs;</w:t>
      </w:r>
    </w:p>
    <w:p>
      <w:pPr>
        <w:pStyle w:val="Normal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• Verificar o ajuste das correias dos motores;</w:t>
      </w:r>
    </w:p>
    <w:p>
      <w:pPr>
        <w:pStyle w:val="Normal"/>
        <w:spacing w:lineRule="auto" w:line="276"/>
        <w:jc w:val="both"/>
        <w:rPr/>
      </w:pPr>
      <w:r>
        <w:rPr>
          <w:rFonts w:eastAsia="Arial" w:cs="Arial" w:ascii="Arial" w:hAnsi="Arial"/>
        </w:rPr>
        <w:t xml:space="preserve">• Verificar a integridade da caixa de bateria, da manta de isolamento contra curto-circuito e da fixação dos cabos e bornes, que devem estar limpos, apertados e protegidos com vaselina;</w:t>
      </w:r>
    </w:p>
    <w:p>
      <w:pPr>
        <w:pStyle w:val="Normal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• Abrir a válvula do sistema de resfriamento do bucim;</w:t>
      </w:r>
    </w:p>
    <w:p>
      <w:pPr>
        <w:pStyle w:val="Normal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• Testar o alarme de nível do porão;</w:t>
      </w:r>
    </w:p>
    <w:p>
      <w:pPr>
        <w:pStyle w:val="Normal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• Testar a parada de emergência com o motor em marcha lenta, confirmando o desligamento imediato.</w:t>
      </w:r>
    </w:p>
    <w:p>
      <w:pPr>
        <w:pStyle w:val="PargrafodaLista"/>
        <w:widowControl w:val="false"/>
        <w:tabs>
          <w:tab w:val="clear" w:pos="708"/>
          <w:tab w:val="left" w:pos="2127" w:leader="none"/>
        </w:tabs>
        <w:suppressAutoHyphens w:val="false"/>
        <w:autoSpaceDE w:val="false"/>
        <w:spacing w:lineRule="atLeast" w:line="0"/>
        <w:ind w:start="0" w:end="0"/>
        <w:rPr>
          <w:rFonts w:ascii="Arial" w:hAnsi="Arial" w:cs="Arial"/>
          <w:sz w:val="20"/>
          <w:szCs w:val="20"/>
          <w:lang w:val="pt-BR"/>
        </w:rPr>
      </w:pPr>
      <w:r>
        <w:rPr>
          <w:rFonts w:cs="Arial" w:ascii="Arial" w:hAnsi="Arial"/>
          <w:sz w:val="20"/>
          <w:szCs w:val="20"/>
          <w:lang w:val="pt-BR"/>
        </w:rPr>
      </w:r>
    </w:p>
    <w:p>
      <w:pPr>
        <w:pStyle w:val="ds-markdown-paragraph"/>
        <w:spacing w:lineRule="atLeast" w:line="0" w:before="4" w:after="4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>Nota:</w:t>
      </w:r>
      <w:r>
        <w:rPr>
          <w:rFonts w:cs="Arial" w:ascii="Arial" w:hAnsi="Arial"/>
          <w:sz w:val="16"/>
          <w:szCs w:val="16"/>
        </w:rPr>
        <w:t xml:space="preserve"> esta inspeção é requisito obrigatório para a liberação da saída da embarcação. O registro e a comunicação de irregularidades seguem a Nota 1 do item 5.4.</w:t>
      </w:r>
    </w:p>
    <w:p>
      <w:pPr>
        <w:pStyle w:val="ds-markdown-paragraph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5.4 Inspeção durante a operação (navegando)</w:t>
      </w:r>
    </w:p>
    <w:p>
      <w:pPr>
        <w:pStyle w:val="Normal"/>
        <w:jc w:val="both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</w:r>
    </w:p>
    <w:p>
      <w:pPr>
        <w:pStyle w:val="Normal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Com os motores em funcionamento, a Equipe de Máquinas deve, diariamente:</w:t>
      </w:r>
    </w:p>
    <w:p>
      <w:pPr>
        <w:pStyle w:val="Normal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• Monitorar os instrumentos dos MCPs e MCAs (pressão de óleo, temperatura do óleo e da água, tensão da bateria e ruídos anormais);</w:t>
      </w:r>
    </w:p>
    <w:p>
      <w:pPr>
        <w:pStyle w:val="Normal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• Inspecionar vazamentos nos motores e no sistema hidráulico de governo (bomba, tubulação, mangueiras, conexões e vedações);</w:t>
      </w:r>
    </w:p>
    <w:p>
      <w:pPr>
        <w:pStyle w:val="Normal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• Verificar o gotejamento do bucim;</w:t>
      </w:r>
    </w:p>
    <w:p>
      <w:pPr>
        <w:pStyle w:val="Normal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• Inspecionar visualmente o porão e testar o alarme de nível;</w:t>
      </w:r>
    </w:p>
    <w:p>
      <w:pPr>
        <w:pStyle w:val="Normal"/>
        <w:spacing w:lineRule="auto" w:line="276"/>
        <w:jc w:val="both"/>
        <w:rPr/>
      </w:pPr>
      <w:r>
        <w:rPr>
          <w:rFonts w:eastAsia="Arial" w:cs="Arial" w:ascii="Arial" w:hAnsi="Arial"/>
        </w:rPr>
        <w:t xml:space="preserve">• No MCA fora de operação: drenar o filtro separador e verificar os níveis de óleo e de arrefecimento antes de colocá-lo em uso;</w:t>
      </w:r>
    </w:p>
    <w:p>
      <w:pPr>
        <w:pStyle w:val="Normal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• Nos MCPs: drenar o filtro separador e verificar os níveis de óleo e de arrefecimento ao menos uma vez ao dia, aproveitando as paradas operacionais.</w:t>
      </w:r>
    </w:p>
    <w:p>
      <w:pPr>
        <w:pStyle w:val="Normal"/>
        <w:spacing w:before="120" w:after="60"/>
        <w:ind w:start="567" w:end="849"/>
        <w:jc w:val="both"/>
        <w:rPr>
          <w:sz w:val="18"/>
          <w:szCs w:val="18"/>
        </w:rPr>
      </w:pPr>
      <w:r>
        <w:rPr>
          <w:rFonts w:eastAsia="Arial" w:cs="Arial" w:ascii="Arial" w:hAnsi="Arial"/>
          <w:b/>
          <w:bCs/>
          <w:sz w:val="18"/>
          <w:szCs w:val="18"/>
        </w:rPr>
        <w:t xml:space="preserve">Nota 1: </w:t>
      </w:r>
      <w:r>
        <w:rPr>
          <w:rFonts w:eastAsia="Arial" w:cs="Arial" w:ascii="Arial" w:hAnsi="Arial"/>
          <w:sz w:val="18"/>
          <w:szCs w:val="18"/>
        </w:rPr>
        <w:t>as inspeções dos itens 5.3 e 5.4 são realizadas pelo Condutor Maquinista Fluvial (CTF) ou pelo Marinheiro Fluvial de Máquinas (MFM) e registradas no Diário de Máquinas, junto com os horímetros e os parâmetros dos motores. Qualquer irregularidade é comunicada ao Comandante, que informa a Coordenação de Operações e a Supervisão de Manutenção conforme o item 5.4.1.</w:t>
      </w:r>
    </w:p>
    <w:p>
      <w:pPr>
        <w:pStyle w:val="Normal"/>
        <w:spacing w:before="120" w:after="60"/>
        <w:ind w:start="567" w:end="849"/>
        <w:jc w:val="both"/>
        <w:rPr>
          <w:sz w:val="18"/>
          <w:szCs w:val="18"/>
        </w:rPr>
      </w:pPr>
      <w:r>
        <w:rPr>
          <w:rFonts w:eastAsia="Arial" w:cs="Arial" w:ascii="Arial" w:hAnsi="Arial"/>
          <w:b/>
          <w:bCs/>
          <w:sz w:val="18"/>
          <w:szCs w:val="18"/>
        </w:rPr>
        <w:t xml:space="preserve">Nota 2: </w:t>
      </w:r>
      <w:r>
        <w:rPr>
          <w:rFonts w:eastAsia="Arial" w:cs="Arial" w:ascii="Arial" w:hAnsi="Arial"/>
          <w:sz w:val="18"/>
          <w:szCs w:val="18"/>
        </w:rPr>
        <w:t>anomalia com risco iminente à segurança, ao meio ambiente ou ao equipamento (falha Crítica) exige parada imediata da operação. As demais anomalias devem ser registradas e comunicadas conforme sua classificação de criticidade (item 5.5).</w:t>
      </w:r>
    </w:p>
    <w:p>
      <w:pPr>
        <w:pStyle w:val="ds-markdown-paragraph"/>
        <w:spacing w:lineRule="atLeast" w:line="0" w:before="4" w:after="4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ds-markdown-paragraph"/>
        <w:spacing w:lineRule="atLeast" w:line="0" w:before="4" w:after="4"/>
        <w:jc w:val="both"/>
        <w:rPr/>
      </w:pPr>
      <w:r>
        <w:rPr>
          <w:rFonts w:cs="Arial" w:ascii="Arial" w:hAnsi="Arial"/>
          <w:b/>
          <w:bCs/>
          <w:sz w:val="20"/>
          <w:szCs w:val="20"/>
        </w:rPr>
        <w:t>5.4.1 Procedimento em caso de irregularidade durante a operação:</w:t>
      </w:r>
    </w:p>
    <w:p>
      <w:pPr>
        <w:pStyle w:val="ds-markdown-paragraph"/>
        <w:spacing w:lineRule="atLeast" w:line="0" w:before="4" w:after="4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ds-markdown-paragraph"/>
        <w:spacing w:lineRule="atLeast" w:line="0" w:before="4" w:after="4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Ao identificar uma irregularidade, o CTF ou MFM deve:</w:t>
      </w:r>
    </w:p>
    <w:p>
      <w:pPr>
        <w:pStyle w:val="ds-markdown-paragraph"/>
        <w:spacing w:lineRule="atLeast" w:line="0" w:before="4" w:after="4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ds-markdown-paragraph"/>
        <w:numPr>
          <w:ilvl w:val="0"/>
          <w:numId w:val="7"/>
        </w:numPr>
        <w:tabs>
          <w:tab w:val="clear" w:pos="708"/>
          <w:tab w:val="left" w:pos="426" w:leader="none"/>
        </w:tabs>
        <w:spacing w:lineRule="atLeast" w:line="0" w:before="4" w:after="4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Falhas Crítica e Alta: informar imediatamente a Coordenação de Operações e a Supervisão de Manutenção, por meio do Comandante via Autotrac. Falhas Média e Baixa: registrar horímetro e parâmetros observados e comunicar via Autotrac em até 24 horas da detecção.</w:t>
      </w:r>
    </w:p>
    <w:p>
      <w:pPr>
        <w:pStyle w:val="ds-markdown-paragraph"/>
        <w:numPr>
          <w:ilvl w:val="0"/>
          <w:numId w:val="7"/>
        </w:numPr>
        <w:tabs>
          <w:tab w:val="clear" w:pos="708"/>
          <w:tab w:val="left" w:pos="426" w:leader="none"/>
        </w:tabs>
        <w:spacing w:lineRule="atLeast" w:line="0" w:before="4" w:after="4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 Supervisão de Manutenção abre a OM no Sankhya ao receber a comunicação, observados os prazos do item 5.5.1. Nas falhas Média e Baixa com a embarcação em viagem, a intervenção que dependa de recursos de terra é iniciada na chegada ao terminal, mantida a operação sob monitoramento.</w:t>
      </w:r>
    </w:p>
    <w:p>
      <w:pPr>
        <w:pStyle w:val="ds-markdown-paragraph"/>
        <w:numPr>
          <w:ilvl w:val="0"/>
          <w:numId w:val="7"/>
        </w:numPr>
        <w:tabs>
          <w:tab w:val="clear" w:pos="708"/>
          <w:tab w:val="left" w:pos="426" w:leader="none"/>
        </w:tabs>
        <w:spacing w:lineRule="atLeast" w:line="0" w:before="4" w:after="4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Abrir e anexar uma RNC (Relatório de Não Conformidade) à OM apenas nos seguintes casos:</w:t>
      </w:r>
    </w:p>
    <w:p>
      <w:pPr>
        <w:pStyle w:val="ds-markdown-paragraph"/>
        <w:spacing w:lineRule="atLeast" w:line="0" w:before="4" w:after="4"/>
        <w:ind w:start="720" w:end="0"/>
        <w:jc w:val="both"/>
        <w:rPr/>
      </w:pPr>
      <w:r>
        <w:rPr>
          <w:rFonts w:cs="Arial" w:ascii="Arial" w:hAnsi="Arial"/>
          <w:sz w:val="20"/>
          <w:szCs w:val="20"/>
        </w:rPr>
        <w:t>- Falhas classificadas como Crítica ou Alta (item 5.5.1);</w:t>
      </w:r>
    </w:p>
    <w:p>
      <w:pPr>
        <w:pStyle w:val="ds-markdown-paragraph"/>
        <w:spacing w:lineRule="atLeast" w:line="0" w:before="4" w:after="4"/>
        <w:ind w:start="720" w:end="0"/>
        <w:jc w:val="both"/>
        <w:rPr/>
      </w:pPr>
      <w:r>
        <w:rPr>
          <w:rFonts w:cs="Arial" w:ascii="Arial" w:hAnsi="Arial"/>
          <w:sz w:val="20"/>
          <w:szCs w:val="20"/>
        </w:rPr>
        <w:t>- Quando a análise da OM indicar falha no sistema de gestão.</w:t>
      </w:r>
    </w:p>
    <w:p>
      <w:pPr>
        <w:pStyle w:val="ds-markdown-paragraph"/>
        <w:spacing w:lineRule="atLeast" w:line="0" w:before="4" w:after="4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spacing w:lineRule="atLeast" w:line="0" w:before="4" w:after="4"/>
        <w:jc w:val="both"/>
        <w:rPr/>
      </w:pPr>
      <w:r>
        <w:rPr>
          <w:rFonts w:cs="Arial" w:ascii="Arial" w:hAnsi="Arial"/>
          <w:sz w:val="20"/>
          <w:szCs w:val="20"/>
        </w:rPr>
        <w:t>A RNC é um documento adicional obrigatório que deve ser anexado à OM sempre que aplicável. Após a correção, o equipamento deve passar por nova inspeção de segurança antes da liberação.</w:t>
      </w:r>
    </w:p>
    <w:p>
      <w:pPr>
        <w:pStyle w:val="ds-markdown-paragraph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spacing w:lineRule="atLeast" w:line="0" w:before="4" w:after="4"/>
        <w:rPr/>
      </w:pPr>
      <w:r>
        <w:rPr>
          <w:rFonts w:cs="Arial" w:ascii="Arial" w:hAnsi="Arial"/>
          <w:b/>
          <w:bCs/>
          <w:sz w:val="20"/>
          <w:szCs w:val="20"/>
        </w:rPr>
        <w:t>5.5 Identificação de Irregularidades e classificação de Criticidade</w:t>
      </w:r>
    </w:p>
    <w:p>
      <w:pPr>
        <w:pStyle w:val="ds-markdown-paragraph"/>
        <w:spacing w:lineRule="atLeast" w:line="0" w:before="4" w:after="4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5.5.1 Inspeção de Chegada e Saída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ds-markdown-paragraph"/>
        <w:shd w:fill="FFFFFF" w:val="clear"/>
        <w:spacing w:lineRule="atLeast" w:line="0" w:before="4" w:after="4"/>
        <w:rPr/>
      </w:pPr>
      <w:r>
        <w:rPr>
          <w:rFonts w:eastAsia="Arial"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 xml:space="preserve">No </w:t>
      </w:r>
      <w:r>
        <w:rPr>
          <w:rFonts w:cs="Arial" w:ascii="Arial" w:hAnsi="Arial"/>
          <w:b/>
          <w:bCs/>
          <w:sz w:val="20"/>
          <w:szCs w:val="20"/>
        </w:rPr>
        <w:t>Terminal de Uso Privativo da Navegação Cunha</w:t>
      </w:r>
      <w:r>
        <w:rPr>
          <w:rFonts w:cs="Arial" w:ascii="Arial" w:hAnsi="Arial"/>
          <w:sz w:val="20"/>
          <w:szCs w:val="20"/>
        </w:rPr>
        <w:t>, deve ser realizada inspeção conjunta (Coordenação de Operações, Supervisão ou Operador de Medição + Tripulação).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numPr>
          <w:ilvl w:val="0"/>
          <w:numId w:val="5"/>
        </w:numPr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Registro Obrigatório:</w:t>
      </w:r>
      <w:r>
        <w:rPr>
          <w:rFonts w:cs="Arial" w:ascii="Arial" w:hAnsi="Arial"/>
          <w:sz w:val="20"/>
          <w:szCs w:val="20"/>
        </w:rPr>
        <w:t xml:space="preserve"> Formulário FR 027_L – Check List dos Empurradores.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shd w:fill="FFFFFF" w:val="clear"/>
        <w:spacing w:lineRule="atLeast" w:line="0" w:before="4" w:after="4"/>
        <w:rPr/>
      </w:pPr>
      <w:r>
        <w:rPr>
          <w:rFonts w:eastAsia="Arial" w:cs="Arial" w:ascii="Arial" w:hAnsi="Arial"/>
          <w:sz w:val="20"/>
          <w:szCs w:val="20"/>
        </w:rPr>
        <w:t xml:space="preserve">    </w:t>
      </w:r>
      <w:r>
        <w:rPr>
          <w:rFonts w:cs="Arial" w:ascii="Arial" w:hAnsi="Arial"/>
          <w:sz w:val="20"/>
          <w:szCs w:val="20"/>
        </w:rPr>
        <w:t>Qualquer irregularidade identificada deve gerar imediatamente uma Ordem de Manutenção (O.M.) no sistema Sankhya. A classificação segue os critérios abaixo: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9100" w:type="dxa"/>
        <w:jc w:val="start"/>
        <w:tblInd w:w="75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880"/>
        <w:gridCol w:w="4480"/>
        <w:gridCol w:w="1720"/>
        <w:gridCol w:w="2020"/>
      </w:tblGrid>
      <w:tr>
        <w:trPr>
          <w:trHeight w:val="330" w:hRule="atLeast"/>
        </w:trPr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Classe</w:t>
            </w:r>
          </w:p>
        </w:tc>
        <w:tc>
          <w:tcPr>
            <w:tcW w:w="44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Descrição do Risco</w:t>
            </w:r>
          </w:p>
        </w:tc>
        <w:tc>
          <w:tcPr>
            <w:tcW w:w="17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Prazo de Início</w:t>
            </w:r>
          </w:p>
        </w:tc>
        <w:tc>
          <w:tcPr>
            <w:tcW w:w="20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Ação/Registro</w:t>
            </w:r>
          </w:p>
        </w:tc>
      </w:tr>
      <w:tr>
        <w:trPr>
          <w:trHeight w:val="531" w:hRule="atLeast"/>
        </w:trPr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Crítica</w:t>
            </w:r>
          </w:p>
        </w:tc>
        <w:tc>
          <w:tcPr>
            <w:tcW w:w="4480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Risco de incêndio, explosão, avaria estrutural grave ou dano ambiental</w:t>
            </w:r>
          </w:p>
        </w:tc>
        <w:tc>
          <w:tcPr>
            <w:tcW w:w="1720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Imediato</w:t>
            </w:r>
          </w:p>
        </w:tc>
        <w:tc>
          <w:tcPr>
            <w:tcW w:w="2020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/>
            </w:pPr>
            <w:r>
              <w:rPr>
                <w:rFonts w:cs="Arial" w:ascii="Arial" w:hAnsi="Arial"/>
                <w:lang w:eastAsia="pt-BR"/>
              </w:rPr>
              <w:t>Interdição + RNC</w:t>
            </w:r>
          </w:p>
        </w:tc>
      </w:tr>
      <w:tr>
        <w:trPr>
          <w:trHeight w:val="286" w:hRule="atLeast"/>
        </w:trPr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Alta</w:t>
            </w:r>
          </w:p>
        </w:tc>
        <w:tc>
          <w:tcPr>
            <w:tcW w:w="4480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Afeta segurança ou confiabilidade operacional</w:t>
            </w:r>
          </w:p>
        </w:tc>
        <w:tc>
          <w:tcPr>
            <w:tcW w:w="1720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≤</w:t>
            </w:r>
            <w:r>
              <w:rPr>
                <w:rFonts w:eastAsia="Arial" w:cs="Arial" w:ascii="Arial" w:hAnsi="Arial"/>
                <w:lang w:eastAsia="pt-BR"/>
              </w:rPr>
              <w:t xml:space="preserve"> </w:t>
            </w:r>
            <w:r>
              <w:rPr>
                <w:rFonts w:cs="Arial" w:ascii="Arial" w:hAnsi="Arial"/>
                <w:lang w:eastAsia="pt-BR"/>
              </w:rPr>
              <w:t>4 horas</w:t>
            </w:r>
          </w:p>
        </w:tc>
        <w:tc>
          <w:tcPr>
            <w:tcW w:w="2020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Prioridade + RNC</w:t>
            </w:r>
          </w:p>
        </w:tc>
      </w:tr>
      <w:tr>
        <w:trPr>
          <w:trHeight w:val="330" w:hRule="atLeast"/>
        </w:trPr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Média</w:t>
            </w:r>
          </w:p>
        </w:tc>
        <w:tc>
          <w:tcPr>
            <w:tcW w:w="4480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Degradação funcional sem risco iminente</w:t>
            </w:r>
          </w:p>
        </w:tc>
        <w:tc>
          <w:tcPr>
            <w:tcW w:w="1720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≤</w:t>
            </w:r>
            <w:r>
              <w:rPr>
                <w:rFonts w:eastAsia="Arial" w:cs="Arial" w:ascii="Arial" w:hAnsi="Arial"/>
                <w:lang w:eastAsia="pt-BR"/>
              </w:rPr>
              <w:t xml:space="preserve"> </w:t>
            </w:r>
            <w:r>
              <w:rPr>
                <w:rFonts w:cs="Arial" w:ascii="Arial" w:hAnsi="Arial"/>
                <w:lang w:eastAsia="pt-BR"/>
              </w:rPr>
              <w:t>48 horas</w:t>
            </w:r>
          </w:p>
        </w:tc>
        <w:tc>
          <w:tcPr>
            <w:tcW w:w="2020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Programação</w:t>
            </w:r>
          </w:p>
        </w:tc>
      </w:tr>
      <w:tr>
        <w:trPr>
          <w:trHeight w:val="330" w:hRule="atLeast"/>
        </w:trPr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Baixa</w:t>
            </w:r>
          </w:p>
        </w:tc>
        <w:tc>
          <w:tcPr>
            <w:tcW w:w="4480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Irregularidade estética ou documental</w:t>
            </w:r>
          </w:p>
        </w:tc>
        <w:tc>
          <w:tcPr>
            <w:tcW w:w="1720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≤</w:t>
            </w:r>
            <w:r>
              <w:rPr>
                <w:rFonts w:eastAsia="Arial" w:cs="Arial" w:ascii="Arial" w:hAnsi="Arial"/>
                <w:lang w:eastAsia="pt-BR"/>
              </w:rPr>
              <w:t xml:space="preserve"> </w:t>
            </w:r>
            <w:r>
              <w:rPr>
                <w:rFonts w:cs="Arial" w:ascii="Arial" w:hAnsi="Arial"/>
                <w:lang w:eastAsia="pt-BR"/>
              </w:rPr>
              <w:t>15 dias</w:t>
            </w:r>
          </w:p>
        </w:tc>
        <w:tc>
          <w:tcPr>
            <w:tcW w:w="2020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Rotina</w:t>
            </w:r>
          </w:p>
        </w:tc>
      </w:tr>
    </w:tbl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Nota: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Em caso de falha Crítica, a embarcação fica impedida de operar até a liberação formal do Coordenador de operações e Supervisor de Manutenção.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 prazo de início é contado a partir da abertura da OM no Sankhya. A OM que ultrapassar o prazo de início sem intervenção iniciada passa a compor o Backlog (item 9).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76" w:before="0" w:after="7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A decisão de liberação ou não da embarcação é registrada no campo C13 (Conclusão) do FR 027_L.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shd w:fill="FFFFFF" w:val="clear"/>
        <w:spacing w:lineRule="atLeast" w:line="0" w:before="4" w:after="4"/>
        <w:rPr/>
      </w:pPr>
      <w:r>
        <w:rPr>
          <w:rFonts w:cs="Arial" w:ascii="Arial" w:hAnsi="Arial"/>
          <w:b/>
          <w:sz w:val="20"/>
          <w:szCs w:val="20"/>
        </w:rPr>
        <w:t>5.6  Aquisição de peças, materiais e serviços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5.6.1 Estoque mínimo</w:t>
      </w:r>
    </w:p>
    <w:p>
      <w:pPr>
        <w:pStyle w:val="ds-markdown-paragraph"/>
        <w:shd w:fill="FFFFFF" w:val="clear"/>
        <w:spacing w:lineRule="atLeast" w:line="0" w:before="4" w:after="4"/>
        <w:rPr/>
      </w:pPr>
      <w:r>
        <w:rPr>
          <w:rFonts w:cs="Arial" w:ascii="Arial" w:hAnsi="Arial"/>
          <w:sz w:val="20"/>
          <w:szCs w:val="20"/>
        </w:rPr>
        <w:t>•</w:t>
      </w:r>
      <w:r>
        <w:rPr>
          <w:rFonts w:eastAsia="Arial"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b/>
          <w:bCs/>
          <w:sz w:val="20"/>
          <w:szCs w:val="20"/>
        </w:rPr>
        <w:t>Consumíveis (filtros, óleos e correias):</w:t>
      </w:r>
      <w:r>
        <w:rPr>
          <w:rFonts w:cs="Arial" w:ascii="Arial" w:hAnsi="Arial"/>
          <w:sz w:val="20"/>
          <w:szCs w:val="20"/>
        </w:rPr>
        <w:t xml:space="preserve"> o estoque cobre os kits das preventivas programadas para o mês seguinte, mais 1 kit de reserva por modelo de motor.</w:t>
      </w:r>
    </w:p>
    <w:p>
      <w:pPr>
        <w:pStyle w:val="ds-markdown-paragraph"/>
        <w:shd w:fill="FFFFFF" w:val="clear"/>
        <w:spacing w:lineRule="atLeast" w:line="0" w:before="4" w:after="4"/>
        <w:rPr/>
      </w:pPr>
      <w:r>
        <w:rPr>
          <w:rFonts w:cs="Arial" w:ascii="Arial" w:hAnsi="Arial"/>
          <w:sz w:val="20"/>
          <w:szCs w:val="20"/>
        </w:rPr>
        <w:t>•</w:t>
      </w:r>
      <w:r>
        <w:rPr>
          <w:rFonts w:eastAsia="Arial"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b/>
          <w:bCs/>
          <w:sz w:val="20"/>
          <w:szCs w:val="20"/>
        </w:rPr>
        <w:t>Peças críticas:</w:t>
      </w:r>
      <w:r>
        <w:rPr>
          <w:rFonts w:cs="Arial" w:ascii="Arial" w:hAnsi="Arial"/>
          <w:sz w:val="20"/>
          <w:szCs w:val="20"/>
        </w:rPr>
        <w:t xml:space="preserve"> lista de até 6 itens, com 1 unidade para a frota, definida pelo Supervisor de Manutenção no </w:t>
      </w:r>
      <w:r>
        <w:rPr>
          <w:rFonts w:cs="Arial" w:ascii="Arial" w:hAnsi="Arial"/>
          <w:b/>
          <w:bCs/>
          <w:sz w:val="20"/>
          <w:szCs w:val="20"/>
        </w:rPr>
        <w:t>Anexo III</w:t>
      </w:r>
      <w:r>
        <w:rPr>
          <w:rFonts w:cs="Arial" w:ascii="Arial" w:hAnsi="Arial"/>
          <w:sz w:val="20"/>
          <w:szCs w:val="20"/>
        </w:rPr>
        <w:t>. Entram apenas peças que impedem a operação e não são obtidas em Manaus em até 48 horas. As demais são adquiridas sob demanda.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 lista é revisada semestralmente pelo Supervisor de Manutenção com base nas RNCs e no MTTR (item 9).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   </w:t>
      </w:r>
      <w:r>
        <w:rPr>
          <w:rFonts w:cs="Arial" w:ascii="Arial" w:hAnsi="Arial"/>
          <w:sz w:val="20"/>
          <w:szCs w:val="20"/>
        </w:rPr>
        <w:t>O Supervisor de Manutenção, ou o Analista de Manutenção sob sua supervisão, registra a necessidade de peças, materiais ou serviços terceirizados no formulário eletrônico SOLICITA, que gera automaticamente a Solicitação de Compra no Sankhya, submetida à autorização da Gerência Geral ou Diretoria (item 4.1).</w:t>
      </w:r>
    </w:p>
    <w:p>
      <w:pPr>
        <w:pStyle w:val="ds-markdown-paragraph"/>
        <w:shd w:fill="FFFFFF" w:val="clear"/>
        <w:spacing w:lineRule="atLeast" w:line="0" w:before="4" w:after="4"/>
        <w:rPr/>
      </w:pPr>
      <w:r>
        <w:rPr>
          <w:rFonts w:eastAsia="Arial" w:cs="Arial" w:ascii="Arial" w:hAnsi="Arial"/>
          <w:sz w:val="20"/>
          <w:szCs w:val="20"/>
        </w:rPr>
        <w:t xml:space="preserve">   </w:t>
      </w:r>
      <w:r>
        <w:rPr>
          <w:rFonts w:cs="Arial" w:ascii="Arial" w:hAnsi="Arial"/>
          <w:sz w:val="20"/>
          <w:szCs w:val="20"/>
        </w:rPr>
        <w:t>O Setor de Compras realiza a aquisição, e o Setor de Suprimentos confere o recebimento físico dos itens.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   </w:t>
      </w:r>
      <w:r>
        <w:rPr>
          <w:rFonts w:cs="Arial" w:ascii="Arial" w:hAnsi="Arial"/>
          <w:sz w:val="20"/>
          <w:szCs w:val="20"/>
        </w:rPr>
        <w:t>O Supervisor de Manutenção atesta a correta utilização dos materiais que devem seguir as especificações técnicas originais para garantir a integridade dos equipamentos na Nota Fiscal correspondente.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shd w:fill="FFFFFF" w:val="clear"/>
        <w:spacing w:lineRule="atLeast" w:line="0" w:before="4" w:after="4"/>
        <w:rPr/>
      </w:pPr>
      <w:r>
        <w:rPr>
          <w:rFonts w:cs="Arial" w:ascii="Arial" w:hAnsi="Arial"/>
          <w:b/>
          <w:bCs/>
          <w:color w:val="000000"/>
          <w:sz w:val="20"/>
          <w:szCs w:val="20"/>
        </w:rPr>
        <w:t>5.7  Gestão de Resíduos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b/>
          <w:bCs/>
          <w:color w:val="00B050"/>
          <w:sz w:val="20"/>
          <w:szCs w:val="20"/>
        </w:rPr>
      </w:pPr>
      <w:r>
        <w:rPr>
          <w:rFonts w:cs="Arial" w:ascii="Arial" w:hAnsi="Arial"/>
          <w:b/>
          <w:bCs/>
          <w:color w:val="00B050"/>
          <w:sz w:val="20"/>
          <w:szCs w:val="20"/>
        </w:rPr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 manejo de materiais descartados durante a manutenção (óleos, estopas, metais, juntas, etc.) é rigorosamente controlado para mitigar riscos ambientais: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numPr>
          <w:ilvl w:val="0"/>
          <w:numId w:val="2"/>
        </w:numPr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Segregação:</w:t>
      </w:r>
      <w:r>
        <w:rPr>
          <w:rFonts w:cs="Arial" w:ascii="Arial" w:hAnsi="Arial"/>
          <w:sz w:val="20"/>
          <w:szCs w:val="20"/>
        </w:rPr>
        <w:t xml:space="preserve"> Todos os resíduos devem ser obrigatoriamente separados na origem, respeitando as classificações do Plano de Gerenciamento de Resíduos Sólidos (PGRS).</w:t>
      </w:r>
    </w:p>
    <w:p>
      <w:pPr>
        <w:pStyle w:val="ds-markdown-paragraph"/>
        <w:numPr>
          <w:ilvl w:val="0"/>
          <w:numId w:val="2"/>
        </w:numPr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Entrega e Destinação:</w:t>
      </w:r>
      <w:r>
        <w:rPr>
          <w:rFonts w:cs="Arial" w:ascii="Arial" w:hAnsi="Arial"/>
          <w:sz w:val="20"/>
          <w:szCs w:val="20"/>
        </w:rPr>
        <w:t xml:space="preserve"> O executor da manutenção entrega os materiais ao setor de </w:t>
      </w:r>
      <w:r>
        <w:rPr>
          <w:rFonts w:cs="Arial" w:ascii="Arial" w:hAnsi="Arial"/>
          <w:b/>
          <w:bCs/>
          <w:sz w:val="20"/>
          <w:szCs w:val="20"/>
        </w:rPr>
        <w:t>SGI</w:t>
      </w:r>
      <w:r>
        <w:rPr>
          <w:rFonts w:cs="Arial" w:ascii="Arial" w:hAnsi="Arial"/>
          <w:sz w:val="20"/>
          <w:szCs w:val="20"/>
        </w:rPr>
        <w:t>, que assume a responsabilidade exclusiva pela coleta interna e pela destinação final ambientalmente adequada.</w:t>
      </w:r>
    </w:p>
    <w:p>
      <w:pPr>
        <w:pStyle w:val="ds-markdown-paragraph"/>
        <w:numPr>
          <w:ilvl w:val="0"/>
          <w:numId w:val="2"/>
        </w:numPr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Comprovação:</w:t>
      </w:r>
      <w:r>
        <w:rPr>
          <w:rFonts w:cs="Arial" w:ascii="Arial" w:hAnsi="Arial"/>
          <w:sz w:val="20"/>
          <w:szCs w:val="20"/>
        </w:rPr>
        <w:t xml:space="preserve"> A transferência de custódia do resíduo é formalizada por meio de formulário de registro (folha de controle) fornecido e assinado pelo SGI no ato da entrega.</w:t>
      </w:r>
    </w:p>
    <w:p>
      <w:pPr>
        <w:pStyle w:val="ds-markdown-paragraph"/>
        <w:numPr>
          <w:ilvl w:val="0"/>
          <w:numId w:val="2"/>
        </w:numPr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Rastreabilidade:</w:t>
      </w:r>
      <w:r>
        <w:rPr>
          <w:rFonts w:cs="Arial" w:ascii="Arial" w:hAnsi="Arial"/>
          <w:sz w:val="20"/>
          <w:szCs w:val="20"/>
        </w:rPr>
        <w:t xml:space="preserve"> O comprovante de entrega deve ser anexado à respectiva </w:t>
      </w:r>
      <w:r>
        <w:rPr>
          <w:rFonts w:cs="Arial" w:ascii="Arial" w:hAnsi="Arial"/>
          <w:b/>
          <w:bCs/>
          <w:sz w:val="20"/>
          <w:szCs w:val="20"/>
        </w:rPr>
        <w:t>O.M</w:t>
      </w:r>
      <w:r>
        <w:rPr>
          <w:rFonts w:cs="Arial" w:ascii="Arial" w:hAnsi="Arial"/>
          <w:sz w:val="20"/>
          <w:szCs w:val="20"/>
        </w:rPr>
        <w:t>, servindo como evidência de conformidade para auditorias.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5.8  Inspeção final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ds-markdown-paragraph"/>
        <w:shd w:fill="FFFFFF" w:val="clear"/>
        <w:spacing w:lineRule="atLeast" w:line="0" w:before="4" w:after="4"/>
        <w:rPr/>
      </w:pPr>
      <w:r>
        <w:rPr>
          <w:rFonts w:eastAsia="Arial" w:cs="Arial" w:ascii="Arial" w:hAnsi="Arial"/>
          <w:sz w:val="20"/>
          <w:szCs w:val="20"/>
        </w:rPr>
        <w:t xml:space="preserve">      </w:t>
      </w:r>
      <w:r>
        <w:rPr>
          <w:rFonts w:cs="Arial" w:ascii="Arial" w:hAnsi="Arial"/>
          <w:sz w:val="20"/>
          <w:szCs w:val="20"/>
        </w:rPr>
        <w:t>Ao término da manutenção, o Supervisor de Manutenção entrega o equipamento testado ao Coordenador de Operações Aquaviárias, líderes ou operadores, realiza a inspeção final e conclui a O.M no sistema Sankhya.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br/>
        <w:t xml:space="preserve">• </w:t>
      </w:r>
      <w:r>
        <w:rPr>
          <w:rFonts w:cs="Arial" w:ascii="Arial" w:hAnsi="Arial"/>
          <w:b/>
          <w:bCs/>
          <w:sz w:val="20"/>
          <w:szCs w:val="20"/>
        </w:rPr>
        <w:t>Para serviços executados por terceiros:</w:t>
      </w:r>
      <w:r>
        <w:rPr>
          <w:rFonts w:cs="Arial" w:ascii="Arial" w:hAnsi="Arial"/>
          <w:sz w:val="20"/>
          <w:szCs w:val="20"/>
        </w:rPr>
        <w:t xml:space="preserve"> o fornecedor deve emitir relatório técnico completo, contendo os serviços executados, os materiais aplicados e os testes realizados. O relatório é anexado ao Anexo II – Registro de Manutenção, onde substitui a descrição da execução, e é atestado pelo Supervisor de Manutenção.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br/>
        <w:t xml:space="preserve">• </w:t>
      </w:r>
      <w:r>
        <w:rPr>
          <w:rFonts w:cs="Arial" w:ascii="Arial" w:hAnsi="Arial"/>
          <w:b/>
          <w:bCs/>
          <w:sz w:val="20"/>
          <w:szCs w:val="20"/>
        </w:rPr>
        <w:t>Caso o fornecedor não emita relatório:</w:t>
      </w:r>
      <w:r>
        <w:rPr>
          <w:rFonts w:cs="Arial" w:ascii="Arial" w:hAnsi="Arial"/>
          <w:sz w:val="20"/>
          <w:szCs w:val="20"/>
        </w:rPr>
        <w:t xml:space="preserve"> o Supervisor de Manutenção registra, na seção de execução do Anexo II, os serviços executados, os materiais aplicados e os testes realizados.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shd w:fill="FFFFFF" w:val="clear"/>
        <w:spacing w:lineRule="atLeast" w:line="0" w:before="4" w:after="4"/>
        <w:rPr/>
      </w:pPr>
      <w:r>
        <w:rPr>
          <w:rFonts w:cs="Arial" w:ascii="Arial" w:hAnsi="Arial"/>
          <w:sz w:val="20"/>
          <w:szCs w:val="20"/>
        </w:rPr>
        <w:t>•</w:t>
      </w:r>
      <w:r>
        <w:rPr>
          <w:rFonts w:eastAsia="Arial" w:cs="Arial" w:ascii="Arial" w:hAnsi="Arial"/>
          <w:sz w:val="20"/>
          <w:szCs w:val="20"/>
        </w:rPr>
        <w:t xml:space="preserve">  </w:t>
      </w:r>
      <w:r>
        <w:rPr>
          <w:rFonts w:cs="Arial" w:ascii="Arial" w:hAnsi="Arial"/>
          <w:sz w:val="20"/>
          <w:szCs w:val="20"/>
        </w:rPr>
        <w:t>O registro fotográfico da irregularidade e do reparo realizado é obrigatório, deve conter identificação do equipamento, data e hora, localização a bordo e nome do responsável, devendo ser anexado à Ordem de Manutenção no sistema Sankhya para fins de evidência técnica e auditoria.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b/>
          <w:bCs/>
          <w:sz w:val="20"/>
        </w:rPr>
      </w:pPr>
      <w:r>
        <w:rPr>
          <w:rStyle w:val="Strong"/>
          <w:rFonts w:cs="Arial" w:ascii="Arial" w:hAnsi="Arial"/>
          <w:sz w:val="20"/>
          <w:szCs w:val="20"/>
        </w:rPr>
        <w:t xml:space="preserve">5.9  </w:t>
      </w:r>
      <w:r>
        <w:rPr>
          <w:rFonts w:cs="Arial" w:ascii="Arial" w:hAnsi="Arial"/>
          <w:b/>
          <w:bCs/>
          <w:sz w:val="20"/>
        </w:rPr>
        <w:t>Gestão Compartilhada Setor técnico e Manutenção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</w:r>
    </w:p>
    <w:p>
      <w:pPr>
        <w:pStyle w:val="ds-markdown-paragraph"/>
        <w:shd w:fill="FFFFFF" w:val="clear"/>
        <w:spacing w:lineRule="atLeast" w:line="0" w:before="4" w:after="4"/>
        <w:jc w:val="both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Rastreabilidade e Interface com o Setor Técnico</w:t>
      </w:r>
    </w:p>
    <w:p>
      <w:pPr>
        <w:pStyle w:val="ds-markdown-paragraph"/>
        <w:shd w:fill="FFFFFF" w:val="clear"/>
        <w:spacing w:lineRule="atLeast" w:line="0" w:before="4" w:after="4"/>
        <w:jc w:val="both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</w:r>
    </w:p>
    <w:p>
      <w:pPr>
        <w:pStyle w:val="NormalWeb"/>
        <w:suppressAutoHyphens w:val="false"/>
        <w:spacing w:before="4" w:after="4"/>
        <w:jc w:val="both"/>
        <w:rPr/>
      </w:pPr>
      <w:r>
        <w:rPr>
          <w:rFonts w:cs="Arial" w:ascii="Arial" w:hAnsi="Arial"/>
        </w:rPr>
        <w:t>•</w:t>
      </w:r>
      <w:r>
        <w:rPr>
          <w:rFonts w:eastAsia="Arial" w:cs="Arial" w:ascii="Arial" w:hAnsi="Arial"/>
        </w:rPr>
        <w:t xml:space="preserve">   </w:t>
      </w:r>
      <w:r>
        <w:rPr>
          <w:rStyle w:val="citation-1151"/>
          <w:rFonts w:cs="Arial" w:ascii="Arial" w:hAnsi="Arial"/>
          <w:b/>
          <w:bCs/>
        </w:rPr>
        <w:t>Custódia de Certificados:</w:t>
      </w:r>
      <w:r>
        <w:rPr>
          <w:rStyle w:val="citation-1151"/>
          <w:rFonts w:cs="Arial" w:ascii="Arial" w:hAnsi="Arial"/>
        </w:rPr>
        <w:t xml:space="preserve"> Toda a documentação de rastreabilidade de materiais, certificados de chaparia, válvulas e calibração de instrumentos de medição é gerenciada e arquivada pelo </w:t>
      </w:r>
      <w:r>
        <w:rPr>
          <w:rStyle w:val="citation-1151"/>
          <w:rFonts w:cs="Arial" w:ascii="Arial" w:hAnsi="Arial"/>
          <w:b/>
          <w:bCs/>
        </w:rPr>
        <w:t>Setor Técnico</w:t>
      </w:r>
      <w:r>
        <w:rPr>
          <w:rFonts w:cs="Arial" w:ascii="Arial" w:hAnsi="Arial"/>
        </w:rPr>
        <w:t>.</w:t>
      </w:r>
    </w:p>
    <w:p>
      <w:pPr>
        <w:pStyle w:val="ds-markdown-paragraph"/>
        <w:shd w:fill="FFFFFF" w:val="clear"/>
        <w:spacing w:lineRule="atLeast" w:line="0" w:before="4" w:after="4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•</w:t>
      </w:r>
      <w:r>
        <w:rPr>
          <w:rFonts w:eastAsia="Arial" w:cs="Arial" w:ascii="Arial" w:hAnsi="Arial"/>
          <w:sz w:val="20"/>
          <w:szCs w:val="20"/>
        </w:rPr>
        <w:t xml:space="preserve">   </w:t>
      </w:r>
      <w:r>
        <w:rPr>
          <w:rStyle w:val="citation-1150"/>
          <w:rFonts w:cs="Arial" w:ascii="Arial" w:hAnsi="Arial"/>
          <w:b/>
          <w:bCs/>
          <w:sz w:val="20"/>
          <w:szCs w:val="20"/>
        </w:rPr>
        <w:t>Registros no Sistema Sankhya.:</w:t>
      </w:r>
      <w:r>
        <w:rPr>
          <w:rStyle w:val="citation-1150"/>
          <w:rFonts w:cs="Arial" w:ascii="Arial" w:hAnsi="Arial"/>
          <w:sz w:val="20"/>
          <w:szCs w:val="20"/>
        </w:rPr>
        <w:t xml:space="preserve"> Todas as manutenções preventivas devem ser registradas no sistema Sankhya, com anexo obrigatório de relatório fotográfico para evidência técnica</w:t>
      </w:r>
    </w:p>
    <w:p>
      <w:pPr>
        <w:pStyle w:val="ds-markdown-paragraph"/>
        <w:shd w:fill="FFFFFF" w:val="clear"/>
        <w:spacing w:lineRule="atLeast" w:line="0" w:before="4" w:after="4"/>
        <w:jc w:val="both"/>
        <w:rPr/>
      </w:pPr>
      <w:r>
        <w:rPr>
          <w:rFonts w:cs="Arial" w:ascii="Arial" w:hAnsi="Arial"/>
          <w:sz w:val="20"/>
          <w:szCs w:val="20"/>
        </w:rPr>
        <w:t>•</w:t>
      </w:r>
      <w:r>
        <w:rPr>
          <w:rFonts w:eastAsia="Arial" w:cs="Arial" w:ascii="Arial" w:hAnsi="Arial"/>
          <w:sz w:val="20"/>
          <w:szCs w:val="20"/>
        </w:rPr>
        <w:t xml:space="preserve">   </w:t>
      </w:r>
      <w:r>
        <w:rPr>
          <w:rFonts w:cs="Arial" w:ascii="Arial" w:hAnsi="Arial"/>
          <w:sz w:val="20"/>
          <w:szCs w:val="20"/>
        </w:rPr>
        <w:t>O lote e a validade do lubrificante são registrados no FR 049_B (colunas “Nº lote” e “Validade”) e na O.M. É proibido usar lubrificante com a validade vencida</w:t>
      </w:r>
      <w:r>
        <w:rPr>
          <w:rFonts w:cs="Arial" w:ascii="Arial" w:hAnsi="Arial"/>
          <w:color w:val="00B050"/>
          <w:sz w:val="20"/>
          <w:szCs w:val="20"/>
        </w:rPr>
        <w:t>.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color w:val="00B050"/>
          <w:sz w:val="20"/>
          <w:szCs w:val="20"/>
        </w:rPr>
      </w:pPr>
      <w:r>
        <w:rPr>
          <w:rFonts w:cs="Arial" w:ascii="Arial" w:hAnsi="Arial"/>
          <w:color w:val="00B050"/>
          <w:sz w:val="20"/>
          <w:szCs w:val="20"/>
        </w:rPr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Heading3"/>
        <w:spacing w:before="4" w:after="4"/>
        <w:rPr>
          <w:rFonts w:ascii="Arial" w:hAnsi="Arial" w:cs="Arial"/>
          <w:bCs/>
          <w:sz w:val="20"/>
        </w:rPr>
      </w:pPr>
      <w:r>
        <w:rPr>
          <w:rFonts w:cs="Arial" w:ascii="Arial" w:hAnsi="Arial"/>
          <w:sz w:val="20"/>
        </w:rPr>
        <w:t xml:space="preserve">5.10 </w:t>
      </w:r>
      <w:r>
        <w:rPr>
          <w:rFonts w:cs="Arial" w:ascii="Arial" w:hAnsi="Arial"/>
          <w:bCs/>
          <w:sz w:val="20"/>
        </w:rPr>
        <w:t>Gestão Compartilhada SESMT e Manutenção</w:t>
      </w:r>
    </w:p>
    <w:p>
      <w:pPr>
        <w:pStyle w:val="Normal"/>
        <w:rPr>
          <w:rFonts w:ascii="Arial" w:hAnsi="Arial" w:cs="Arial"/>
          <w:bCs/>
          <w:sz w:val="20"/>
        </w:rPr>
      </w:pPr>
      <w:r>
        <w:rPr>
          <w:rFonts w:cs="Arial" w:ascii="Arial" w:hAnsi="Arial"/>
          <w:bCs/>
          <w:sz w:val="20"/>
        </w:rPr>
      </w:r>
    </w:p>
    <w:p>
      <w:pPr>
        <w:pStyle w:val="ds-markdown-paragraph"/>
        <w:shd w:fill="FFFFFF" w:val="clear"/>
        <w:spacing w:before="240" w:after="240"/>
        <w:jc w:val="both"/>
        <w:rPr>
          <w:rStyle w:val="Strong"/>
          <w:rFonts w:ascii="Arial" w:hAnsi="Arial" w:cs="Arial"/>
          <w:color w:val="0F1115"/>
          <w:sz w:val="20"/>
          <w:szCs w:val="20"/>
        </w:rPr>
      </w:pPr>
      <w:r>
        <w:rPr>
          <w:rStyle w:val="Strong"/>
          <w:rFonts w:cs="Arial" w:ascii="Arial" w:hAnsi="Arial"/>
          <w:color w:val="0F1115"/>
          <w:sz w:val="20"/>
          <w:szCs w:val="20"/>
        </w:rPr>
        <w:t>Controle de Equipamentos de Salvatagem</w:t>
      </w:r>
    </w:p>
    <w:p>
      <w:pPr>
        <w:pStyle w:val="NormalWeb"/>
        <w:spacing w:before="4" w:after="4"/>
        <w:rPr/>
      </w:pPr>
      <w:r>
        <w:rPr>
          <w:rStyle w:val="Strong"/>
          <w:rFonts w:eastAsia="Arial" w:cs="Arial" w:ascii="Arial" w:hAnsi="Arial"/>
          <w:b w:val="false"/>
          <w:color w:val="0F1115"/>
        </w:rPr>
        <w:t xml:space="preserve"> </w:t>
      </w:r>
      <w:r>
        <w:rPr>
          <w:rStyle w:val="Strong"/>
          <w:rFonts w:cs="Arial" w:ascii="Arial" w:hAnsi="Arial"/>
          <w:b w:val="false"/>
          <w:color w:val="0F1115"/>
        </w:rPr>
        <w:t xml:space="preserve">- o setor do SESMT e responsável pela inspeção e integridade dos equipamento de combate a incêndio e salvatagem. </w:t>
      </w:r>
      <w:r>
        <w:rPr>
          <w:rFonts w:cs="Arial" w:ascii="Arial" w:hAnsi="Arial"/>
        </w:rPr>
        <w:t>A gestão da integridade destes itens é compartilhada para garantir prontidão operacional e conformidade legal:</w:t>
      </w:r>
    </w:p>
    <w:p>
      <w:pPr>
        <w:pStyle w:val="ds-markdown-paragraph"/>
        <w:shd w:fill="FFFFFF" w:val="clear"/>
        <w:spacing w:before="0" w:after="0"/>
        <w:jc w:val="both"/>
        <w:rPr>
          <w:rFonts w:ascii="Arial" w:hAnsi="Arial" w:cs="Arial"/>
          <w:b/>
          <w:color w:val="0F1115"/>
          <w:sz w:val="20"/>
          <w:szCs w:val="20"/>
        </w:rPr>
      </w:pPr>
      <w:r>
        <w:rPr>
          <w:rStyle w:val="Strong"/>
          <w:rFonts w:eastAsia="Arial" w:cs="Arial" w:ascii="Arial" w:hAnsi="Arial"/>
          <w:b w:val="false"/>
          <w:color w:val="0F1115"/>
          <w:sz w:val="20"/>
          <w:szCs w:val="20"/>
        </w:rPr>
        <w:t xml:space="preserve"> </w:t>
      </w:r>
      <w:r>
        <w:rPr>
          <w:rStyle w:val="Strong"/>
          <w:rFonts w:cs="Arial" w:ascii="Arial" w:hAnsi="Arial"/>
          <w:b w:val="false"/>
          <w:color w:val="0F1115"/>
          <w:sz w:val="20"/>
          <w:szCs w:val="20"/>
        </w:rPr>
        <w:t>- O setor da manutenção é responsável por atender O.M solicitadas do SESMT, Responsavel por avaliar e reparar danos estruturais como suporte do extintor, troca de caixa de hidrantes, troca de válvulas.</w:t>
      </w:r>
    </w:p>
    <w:p>
      <w:pPr>
        <w:pStyle w:val="ds-markdown-paragraph"/>
        <w:shd w:fill="FFFFFF" w:val="clear"/>
        <w:spacing w:before="0" w:after="0"/>
        <w:jc w:val="both"/>
        <w:rPr>
          <w:rFonts w:ascii="Arial" w:hAnsi="Arial" w:cs="Arial"/>
          <w:color w:val="0F1115"/>
          <w:sz w:val="20"/>
          <w:szCs w:val="20"/>
        </w:rPr>
      </w:pPr>
      <w:r>
        <w:rPr>
          <w:rFonts w:cs="Arial" w:ascii="Arial" w:hAnsi="Arial"/>
          <w:color w:val="0F1115"/>
          <w:sz w:val="20"/>
          <w:szCs w:val="20"/>
        </w:rPr>
        <w:t xml:space="preserve">A inspeção mensal deve avaliar desgastes, pintura, marcação da boia (nome da embarcação e porto de registro), alças, retinidas e suportes. </w:t>
      </w:r>
    </w:p>
    <w:p>
      <w:pPr>
        <w:pStyle w:val="ds-markdown-paragraph"/>
        <w:shd w:fill="FFFFFF" w:val="clear"/>
        <w:spacing w:before="0" w:after="0"/>
        <w:jc w:val="both"/>
        <w:rPr>
          <w:rFonts w:ascii="Arial" w:hAnsi="Arial" w:cs="Arial"/>
          <w:color w:val="0F1115"/>
          <w:sz w:val="20"/>
          <w:szCs w:val="20"/>
        </w:rPr>
      </w:pPr>
      <w:r>
        <w:rPr>
          <w:rFonts w:cs="Arial" w:ascii="Arial" w:hAnsi="Arial"/>
          <w:color w:val="0F1115"/>
          <w:sz w:val="20"/>
          <w:szCs w:val="20"/>
        </w:rPr>
      </w:r>
    </w:p>
    <w:p>
      <w:pPr>
        <w:pStyle w:val="ds-markdown-paragraph"/>
        <w:shd w:fill="FFFFFF" w:val="clear"/>
        <w:spacing w:before="0" w:after="0"/>
        <w:jc w:val="both"/>
        <w:rPr>
          <w:rFonts w:ascii="Arial" w:hAnsi="Arial" w:cs="Arial"/>
          <w:color w:val="0F1115"/>
          <w:sz w:val="20"/>
          <w:szCs w:val="20"/>
        </w:rPr>
      </w:pPr>
      <w:r>
        <w:rPr>
          <w:rFonts w:cs="Arial" w:ascii="Arial" w:hAnsi="Arial"/>
          <w:color w:val="0F1115"/>
          <w:sz w:val="20"/>
          <w:szCs w:val="20"/>
        </w:rPr>
        <w:t>Nos coletes salva-vidas, verificar certificado, fabricação, modelo, classe, tamanho, apito, tirante e acesso fácil.</w:t>
      </w:r>
    </w:p>
    <w:p>
      <w:pPr>
        <w:pStyle w:val="ds-markdown-paragraph"/>
        <w:shd w:fill="FFFFFF" w:val="clear"/>
        <w:spacing w:before="0" w:after="0"/>
        <w:jc w:val="both"/>
        <w:rPr>
          <w:rFonts w:ascii="Arial" w:hAnsi="Arial" w:cs="Arial"/>
          <w:color w:val="0F1115"/>
          <w:sz w:val="20"/>
          <w:szCs w:val="20"/>
        </w:rPr>
      </w:pPr>
      <w:r>
        <w:rPr>
          <w:rFonts w:cs="Arial" w:ascii="Arial" w:hAnsi="Arial"/>
          <w:color w:val="0F1115"/>
          <w:sz w:val="20"/>
          <w:szCs w:val="20"/>
        </w:rPr>
      </w:r>
    </w:p>
    <w:p>
      <w:pPr>
        <w:pStyle w:val="ds-markdown-paragraph"/>
        <w:shd w:fill="FFFFFF" w:val="clear"/>
        <w:spacing w:before="0" w:after="0"/>
        <w:jc w:val="both"/>
        <w:rPr>
          <w:rFonts w:ascii="Arial" w:hAnsi="Arial" w:cs="Arial"/>
          <w:color w:val="0F1115"/>
          <w:sz w:val="20"/>
          <w:szCs w:val="20"/>
        </w:rPr>
      </w:pPr>
      <w:r>
        <w:rPr>
          <w:rFonts w:cs="Arial" w:ascii="Arial" w:hAnsi="Arial"/>
          <w:color w:val="0F1115"/>
          <w:sz w:val="20"/>
          <w:szCs w:val="20"/>
        </w:rPr>
        <w:t>A vida útil é determinada pelo fabricante e pelo tempo de exposição a agentes agressivos. O gerenciamento considera durabilidade, tempo de vida e estado de conservação.</w:t>
      </w:r>
    </w:p>
    <w:p>
      <w:pPr>
        <w:pStyle w:val="Normal"/>
        <w:rPr>
          <w:rFonts w:ascii="Arial" w:hAnsi="Arial" w:cs="Arial"/>
          <w:color w:val="0F1115"/>
          <w:sz w:val="20"/>
          <w:szCs w:val="20"/>
        </w:rPr>
      </w:pPr>
      <w:r>
        <w:rPr>
          <w:rFonts w:cs="Arial" w:ascii="Arial" w:hAnsi="Arial"/>
          <w:color w:val="0F1115"/>
          <w:sz w:val="20"/>
          <w:szCs w:val="20"/>
        </w:rPr>
      </w:r>
    </w:p>
    <w:p>
      <w:pPr>
        <w:pStyle w:val="NormalWeb"/>
        <w:numPr>
          <w:ilvl w:val="0"/>
          <w:numId w:val="12"/>
        </w:numPr>
        <w:suppressAutoHyphens w:val="false"/>
        <w:spacing w:before="4" w:after="4"/>
        <w:rPr>
          <w:rFonts w:ascii="Arial" w:hAnsi="Arial" w:cs="Arial"/>
        </w:rPr>
      </w:pPr>
      <w:r>
        <w:rPr>
          <w:rStyle w:val="citation-1388"/>
          <w:rFonts w:cs="Arial" w:ascii="Arial" w:hAnsi="Arial"/>
          <w:b/>
          <w:bCs/>
        </w:rPr>
        <w:t>Conformidade Técnica (SESMT):</w:t>
      </w:r>
      <w:r>
        <w:rPr>
          <w:rStyle w:val="citation-1388"/>
          <w:rFonts w:cs="Arial" w:ascii="Arial" w:hAnsi="Arial"/>
        </w:rPr>
        <w:t xml:space="preserve"> Responsável técnico pela validade e certificação de extintores, e equipamentos de combate a incêndio e de salvatagem ( coletes salva-vidas e boias circulares, Balsa salva-vidas e artefatos pirotécnicos)</w:t>
      </w:r>
    </w:p>
    <w:p>
      <w:pPr>
        <w:pStyle w:val="NormalWeb"/>
        <w:numPr>
          <w:ilvl w:val="0"/>
          <w:numId w:val="12"/>
        </w:numPr>
        <w:suppressAutoHyphens w:val="false"/>
        <w:spacing w:before="4" w:after="4"/>
        <w:rPr>
          <w:rFonts w:ascii="Arial" w:hAnsi="Arial" w:cs="Arial"/>
        </w:rPr>
      </w:pPr>
      <w:r>
        <w:rPr>
          <w:rStyle w:val="citation-1387"/>
          <w:rFonts w:cs="Arial" w:ascii="Arial" w:hAnsi="Arial"/>
          <w:b/>
          <w:bCs/>
        </w:rPr>
        <w:t>Testes e Recargas (SESMT):</w:t>
      </w:r>
      <w:r>
        <w:rPr>
          <w:rStyle w:val="citation-1387"/>
          <w:rFonts w:cs="Arial" w:ascii="Arial" w:hAnsi="Arial"/>
        </w:rPr>
        <w:t xml:space="preserve"> Coordena a recarga anual de extintores e a realização de testes hidrostáticos em mangueiras e cilindros</w:t>
      </w:r>
      <w:r>
        <w:rPr>
          <w:rFonts w:cs="Arial" w:ascii="Arial" w:hAnsi="Arial"/>
        </w:rPr>
        <w:t>.</w:t>
      </w:r>
    </w:p>
    <w:p>
      <w:pPr>
        <w:pStyle w:val="NormalWeb"/>
        <w:numPr>
          <w:ilvl w:val="0"/>
          <w:numId w:val="12"/>
        </w:numPr>
        <w:suppressAutoHyphens w:val="false"/>
        <w:spacing w:before="4" w:after="4"/>
        <w:rPr>
          <w:rFonts w:ascii="Arial" w:hAnsi="Arial" w:cs="Arial"/>
        </w:rPr>
      </w:pPr>
      <w:r>
        <w:rPr>
          <w:rStyle w:val="citation-1386"/>
          <w:rFonts w:cs="Arial" w:ascii="Arial" w:hAnsi="Arial"/>
          <w:b/>
          <w:bCs/>
        </w:rPr>
        <w:t>Inspeção Mensal (SESMT):</w:t>
      </w:r>
      <w:r>
        <w:rPr>
          <w:rStyle w:val="citation-1386"/>
          <w:rFonts w:cs="Arial" w:ascii="Arial" w:hAnsi="Arial"/>
        </w:rPr>
        <w:t xml:space="preserve"> Realiza o monitoramento mensal das condições de conservação, pintura e marcações dos equipamentos de salvatagem</w:t>
      </w:r>
      <w:r>
        <w:rPr>
          <w:rFonts w:cs="Arial" w:ascii="Arial" w:hAnsi="Arial"/>
        </w:rPr>
        <w:t>.</w:t>
      </w:r>
    </w:p>
    <w:p>
      <w:pPr>
        <w:pStyle w:val="NormalWeb"/>
        <w:numPr>
          <w:ilvl w:val="0"/>
          <w:numId w:val="12"/>
        </w:numPr>
        <w:suppressAutoHyphens w:val="false"/>
        <w:spacing w:before="4" w:after="4"/>
        <w:rPr>
          <w:rFonts w:ascii="Arial" w:hAnsi="Arial" w:cs="Arial"/>
        </w:rPr>
      </w:pPr>
      <w:r>
        <w:rPr>
          <w:rStyle w:val="citation-1385"/>
          <w:rFonts w:cs="Arial" w:ascii="Arial" w:hAnsi="Arial"/>
          <w:b/>
          <w:bCs/>
        </w:rPr>
        <w:t>Integridade Estrutural (Manutenção):</w:t>
      </w:r>
      <w:r>
        <w:rPr>
          <w:rStyle w:val="citation-1385"/>
          <w:rFonts w:cs="Arial" w:ascii="Arial" w:hAnsi="Arial"/>
        </w:rPr>
        <w:t xml:space="preserve"> O setor de manutenção é responsável pela conservação e reparo das bases, suportes, racks e demais estruturas de fixação onde os equipamentos estão instalados</w:t>
      </w:r>
      <w:r>
        <w:rPr>
          <w:rFonts w:cs="Arial" w:ascii="Arial" w:hAnsi="Arial"/>
        </w:rPr>
        <w:t>.</w:t>
      </w:r>
    </w:p>
    <w:p>
      <w:pPr>
        <w:pStyle w:val="NormalWeb"/>
        <w:numPr>
          <w:ilvl w:val="0"/>
          <w:numId w:val="12"/>
        </w:numPr>
        <w:suppressAutoHyphens w:val="false"/>
        <w:spacing w:before="4" w:after="4"/>
        <w:rPr>
          <w:rFonts w:ascii="Arial" w:hAnsi="Arial" w:cs="Arial"/>
        </w:rPr>
      </w:pPr>
      <w:r>
        <w:rPr>
          <w:rStyle w:val="citation-1384"/>
          <w:rFonts w:cs="Arial" w:ascii="Arial" w:hAnsi="Arial"/>
          <w:b/>
          <w:bCs/>
        </w:rPr>
        <w:t>Fluxo de Solicitação (Sankhya):</w:t>
      </w:r>
      <w:r>
        <w:rPr>
          <w:rStyle w:val="citation-1384"/>
          <w:rFonts w:cs="Arial" w:ascii="Arial" w:hAnsi="Arial"/>
        </w:rPr>
        <w:t xml:space="preserve"> Caso o SESMT identifique avarias nas estruturas de fixação durante suas inspeções, deverá solicitar o reparo à manutenção mediante a abertura de uma Ordem de Manutenção (O.M.) no sistema </w:t>
      </w:r>
      <w:r>
        <w:rPr>
          <w:rStyle w:val="citation-1384"/>
          <w:rFonts w:cs="Arial" w:ascii="Arial" w:hAnsi="Arial"/>
          <w:b/>
          <w:bCs/>
        </w:rPr>
        <w:t>SANKHYA</w:t>
      </w:r>
      <w:r>
        <w:rPr>
          <w:rFonts w:cs="Arial" w:ascii="Arial" w:hAnsi="Arial"/>
        </w:rPr>
        <w:t>.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b/>
          <w:bCs/>
          <w:color w:val="00B050"/>
          <w:sz w:val="20"/>
          <w:szCs w:val="20"/>
        </w:rPr>
      </w:pPr>
      <w:r>
        <w:rPr>
          <w:rFonts w:cs="Arial" w:ascii="Arial" w:hAnsi="Arial"/>
          <w:b/>
          <w:bCs/>
          <w:color w:val="00B050"/>
          <w:sz w:val="20"/>
          <w:szCs w:val="20"/>
        </w:rPr>
      </w:r>
    </w:p>
    <w:p>
      <w:pPr>
        <w:pStyle w:val="ds-markdown-paragraph"/>
        <w:shd w:fill="FFFFFF" w:val="clear"/>
        <w:spacing w:lineRule="atLeast" w:line="0" w:before="4" w:after="4"/>
        <w:rPr/>
      </w:pPr>
      <w:r>
        <w:rPr>
          <w:rFonts w:cs="Arial" w:ascii="Arial" w:hAnsi="Arial"/>
          <w:b/>
          <w:bCs/>
          <w:sz w:val="20"/>
          <w:szCs w:val="20"/>
        </w:rPr>
        <w:t>5.11 Execução e Segurança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ds-markdown-paragraph"/>
        <w:shd w:fill="FFFFFF" w:val="clear"/>
        <w:spacing w:lineRule="atLeast" w:line="0" w:before="4" w:after="4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Para garantir a integridade física e a conformidade normativa, toda intervenção técnica deve seguir os protocolos abaixo: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5.11 Execução e Segurança</w:t>
        <w:br/>
      </w:r>
      <w:r>
        <w:rPr>
          <w:rFonts w:cs="Arial" w:ascii="Arial" w:hAnsi="Arial"/>
          <w:b/>
          <w:bCs/>
          <w:sz w:val="20"/>
          <w:szCs w:val="20"/>
        </w:rPr>
        <w:t>5.11.1 – Rotina:</w:t>
      </w:r>
      <w:r>
        <w:rPr>
          <w:rFonts w:cs="Arial" w:ascii="Arial" w:hAnsi="Arial"/>
          <w:sz w:val="20"/>
          <w:szCs w:val="20"/>
        </w:rPr>
        <w:t xml:space="preserve"> as manutenções de rotina do Anexo I não exigem liberação individual do SESMT. O executor aplica o bloqueio e a sinalização da partida, segue o método do Anexo I e usa os EPIs da APR padrão de manutenção aprovada pelo SESMT</w:t>
        <w:br/>
      </w:r>
      <w:r>
        <w:rPr>
          <w:rFonts w:cs="Arial" w:ascii="Arial" w:hAnsi="Arial"/>
          <w:b/>
          <w:bCs/>
          <w:sz w:val="20"/>
          <w:szCs w:val="20"/>
        </w:rPr>
        <w:t>5.11.2 – Atividades de risco:</w:t>
      </w:r>
      <w:r>
        <w:rPr>
          <w:rFonts w:cs="Arial" w:ascii="Arial" w:hAnsi="Arial"/>
          <w:sz w:val="20"/>
          <w:szCs w:val="20"/>
        </w:rPr>
        <w:t xml:space="preserve"> espaço confinado, trabalho a quente, eletricidade acima de 50 V (NR-10), trabalho em altura e trabalho na água exigem Permissão de Trabalho (PT) do SESMT. Em viagem, só podem ser executadas em emergência, conforme procedimento do SESMT.</w:t>
        <w:br/>
      </w:r>
      <w:r>
        <w:rPr>
          <w:rFonts w:cs="Arial" w:ascii="Arial" w:hAnsi="Arial"/>
          <w:b/>
          <w:bCs/>
          <w:sz w:val="20"/>
          <w:szCs w:val="20"/>
        </w:rPr>
        <w:t>5.11.3 – Serviços externos:</w:t>
      </w:r>
      <w:r>
        <w:rPr>
          <w:rFonts w:cs="Arial" w:ascii="Arial" w:hAnsi="Arial"/>
          <w:sz w:val="20"/>
          <w:szCs w:val="20"/>
        </w:rPr>
        <w:t xml:space="preserve"> exigem autorização formal da Gerência e relatório técnico do fornecedor, conforme item 5.8.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5.12 Gestão Compartilhada T.I. e Manutenção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ds-markdown-paragraph"/>
        <w:shd w:fill="FFFFFF" w:val="clear"/>
        <w:spacing w:lineRule="atLeast" w:line="0" w:before="4" w:after="4"/>
        <w:rPr/>
      </w:pPr>
      <w:r>
        <w:rPr>
          <w:rFonts w:cs="Arial" w:ascii="Arial" w:hAnsi="Arial"/>
          <w:b/>
          <w:bCs/>
          <w:sz w:val="20"/>
          <w:szCs w:val="20"/>
        </w:rPr>
        <w:t>Equipamentos eletrônicos de navegação e comunicação:</w:t>
      </w:r>
      <w:r>
        <w:rPr>
          <w:rFonts w:cs="Arial" w:ascii="Arial" w:hAnsi="Arial"/>
          <w:sz w:val="20"/>
          <w:szCs w:val="20"/>
        </w:rPr>
        <w:t xml:space="preserve"> Radar, GPS/Plotter, AIS, Ecobatímetro (sonda), Autotrac, rádio VHF e CFTV.</w:t>
      </w:r>
    </w:p>
    <w:p>
      <w:pPr>
        <w:pStyle w:val="ds-markdown-paragraph"/>
        <w:numPr>
          <w:ilvl w:val="0"/>
          <w:numId w:val="6"/>
        </w:numPr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T.I.:</w:t>
      </w:r>
      <w:r>
        <w:rPr>
          <w:rFonts w:cs="Arial" w:ascii="Arial" w:hAnsi="Arial"/>
          <w:sz w:val="20"/>
          <w:szCs w:val="20"/>
        </w:rPr>
        <w:t xml:space="preserve"> responsável pelo controle, histórico, diagnóstico, reparo, configuração, atualização de software e cartas, e pela contratação e acompanhamento da assistência técnica terceirizada.</w:t>
      </w:r>
    </w:p>
    <w:p>
      <w:pPr>
        <w:pStyle w:val="ds-markdown-paragraph"/>
        <w:numPr>
          <w:ilvl w:val="0"/>
          <w:numId w:val="6"/>
        </w:numPr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Manutenção:</w:t>
      </w:r>
      <w:r>
        <w:rPr>
          <w:rFonts w:cs="Arial" w:ascii="Arial" w:hAnsi="Arial"/>
          <w:sz w:val="20"/>
          <w:szCs w:val="20"/>
        </w:rPr>
        <w:t xml:space="preserve"> atuação restrita à infraestrutura elétrica de alimentação: tensão de alimentação, disjuntores e fusíveis, cabos de alimentação e aterramento, terminais e fixação física dos suportes. A Manutenção não abre, não configura e não substitui componentes internos dos equipamentos.</w:t>
      </w:r>
    </w:p>
    <w:p>
      <w:pPr>
        <w:pStyle w:val="Normal"/>
        <w:numPr>
          <w:ilvl w:val="0"/>
          <w:numId w:val="6"/>
        </w:numPr>
        <w:spacing w:lineRule="auto" w:line="276" w:before="0" w:after="70"/>
        <w:jc w:val="both"/>
        <w:rPr/>
      </w:pPr>
      <w:r>
        <w:rPr>
          <w:rFonts w:eastAsia="Arial" w:cs="Arial" w:ascii="Arial" w:hAnsi="Arial"/>
          <w:b/>
          <w:bCs/>
        </w:rPr>
        <w:t>Tripulação (CTF/MFM/Comandante):</w:t>
      </w:r>
      <w:r>
        <w:rPr>
          <w:rFonts w:eastAsia="Arial" w:cs="Arial" w:ascii="Arial" w:hAnsi="Arial"/>
        </w:rPr>
        <w:t xml:space="preserve"> verificação funcional dos equipamentos na inspeção de chegada e saída (FR 027_L) e comunicação de falha conforme item 5.4.1.</w:t>
      </w:r>
    </w:p>
    <w:p>
      <w:pPr>
        <w:pStyle w:val="ds-markdown-paragraph"/>
        <w:numPr>
          <w:ilvl w:val="0"/>
          <w:numId w:val="6"/>
        </w:numPr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Fluxo de atendimento:</w:t>
      </w:r>
      <w:r>
        <w:rPr>
          <w:rFonts w:cs="Arial" w:ascii="Arial" w:hAnsi="Arial"/>
          <w:sz w:val="20"/>
          <w:szCs w:val="20"/>
        </w:rPr>
        <w:t xml:space="preserve"> falha comunicada via Autotrac → Supervisão de Manutenção abre a OM no Sankhya → Manutenção verifica a alimentação elétrica: </w:t>
      </w:r>
    </w:p>
    <w:p>
      <w:pPr>
        <w:pStyle w:val="ds-markdown-paragraph"/>
        <w:numPr>
          <w:ilvl w:val="1"/>
          <w:numId w:val="6"/>
        </w:numPr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a) causa na alimentação elétrica: a Manutenção corrige e encerra a OM;</w:t>
      </w:r>
    </w:p>
    <w:p>
      <w:pPr>
        <w:pStyle w:val="ds-markdown-paragraph"/>
        <w:numPr>
          <w:ilvl w:val="1"/>
          <w:numId w:val="6"/>
        </w:numPr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b) alimentação normal: a OM é direcionada ao T.I., que executa o reparo ou terceiriza. O relatório técnico do fornecedor é anexado à OM (item 5.8).</w:t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Web"/>
        <w:spacing w:before="4" w:after="4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Web"/>
        <w:spacing w:before="4" w:after="4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6.0  RELAÇÃO DE EQUIPAMENTOS CRÍTICOS</w:t>
      </w:r>
    </w:p>
    <w:p>
      <w:pPr>
        <w:pStyle w:val="NormalWeb"/>
        <w:spacing w:before="4" w:after="4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Web"/>
        <w:spacing w:before="4" w:after="4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Web"/>
        <w:spacing w:before="4" w:after="4"/>
        <w:ind w:start="426" w:end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6.1 Diretrizes para Análise, Controle e Gerenciamento de Equipamentos Críticos</w:t>
      </w:r>
    </w:p>
    <w:p>
      <w:pPr>
        <w:pStyle w:val="NormalWeb"/>
        <w:spacing w:before="4" w:after="4"/>
        <w:ind w:firstLine="708" w:start="426" w:end="0"/>
        <w:jc w:val="both"/>
        <w:rPr/>
      </w:pPr>
      <w:r>
        <w:rPr>
          <w:rFonts w:cs="Arial" w:ascii="Arial" w:hAnsi="Arial"/>
          <w:b/>
        </w:rPr>
        <w:br/>
      </w:r>
      <w:r>
        <w:rPr>
          <w:rFonts w:cs="Arial" w:ascii="Arial" w:hAnsi="Arial"/>
          <w:bCs/>
        </w:rPr>
        <w:t>Este controle visa avaliar o percentual de desgaste dos componentes dos equipamentos considerados críticos para a segurança operacional, saúde, meio ambiente e qualidade. O monitoramento contínuo define as condições para a continuidade do uso seguro dos ativos, programando de forma preditiva e preventiva o momento em que devem ser recondicionados ou substituídos.</w:t>
      </w:r>
    </w:p>
    <w:p>
      <w:pPr>
        <w:pStyle w:val="NormalWeb"/>
        <w:spacing w:before="4" w:after="4"/>
        <w:ind w:start="426" w:end="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NormalWeb"/>
        <w:spacing w:before="4" w:after="4"/>
        <w:ind w:start="426" w:end="0"/>
        <w:rPr>
          <w:b/>
          <w:bCs/>
        </w:rPr>
      </w:pPr>
      <w:r>
        <w:rPr>
          <w:b/>
          <w:bCs/>
        </w:rPr>
        <w:t>6.2 Critérios de Definição de Criticidade</w:t>
      </w:r>
    </w:p>
    <w:p>
      <w:pPr>
        <w:pStyle w:val="NormalWeb"/>
        <w:spacing w:before="4" w:after="4"/>
        <w:ind w:start="426" w:end="0"/>
        <w:rPr/>
      </w:pPr>
      <w:r>
        <w:rPr/>
        <w:br/>
        <w:t xml:space="preserve">Para a classificação dos equipamentos como "Críticos", a </w:t>
      </w:r>
      <w:r>
        <w:rPr>
          <w:b/>
          <w:bCs/>
        </w:rPr>
        <w:t>Navegação Cunha Ltda.</w:t>
      </w:r>
      <w:r>
        <w:rPr/>
        <w:t xml:space="preserve"> adota uma matriz de risco baseada nos seguintes impactos potenciais:</w:t>
      </w:r>
    </w:p>
    <w:p>
      <w:pPr>
        <w:pStyle w:val="NormalWeb"/>
        <w:spacing w:before="4" w:after="4"/>
        <w:ind w:start="426" w:end="0"/>
        <w:rPr/>
      </w:pPr>
      <w:r>
        <w:rPr/>
      </w:r>
    </w:p>
    <w:p>
      <w:pPr>
        <w:pStyle w:val="NormalWeb"/>
        <w:numPr>
          <w:ilvl w:val="0"/>
          <w:numId w:val="3"/>
        </w:numPr>
        <w:spacing w:before="4" w:after="4"/>
        <w:jc w:val="both"/>
        <w:rPr/>
      </w:pPr>
      <w:r>
        <w:rPr>
          <w:b/>
          <w:bCs/>
        </w:rPr>
        <w:t>Segurança e Saúde:</w:t>
      </w:r>
      <w:r>
        <w:rPr/>
        <w:t xml:space="preserve"> Equipamentos cuja falha pode causar acidentes graves ou fatalidades com a tripulação (ex: Sistemas de Governo e Salvatagem).</w:t>
      </w:r>
    </w:p>
    <w:p>
      <w:pPr>
        <w:pStyle w:val="NormalWeb"/>
        <w:numPr>
          <w:ilvl w:val="0"/>
          <w:numId w:val="3"/>
        </w:numPr>
        <w:spacing w:before="4" w:after="4"/>
        <w:jc w:val="both"/>
        <w:rPr/>
      </w:pPr>
      <w:r>
        <w:rPr>
          <w:b/>
          <w:bCs/>
        </w:rPr>
        <w:t>Meio Ambiente:</w:t>
      </w:r>
      <w:r>
        <w:rPr/>
        <w:t xml:space="preserve"> Equipamentos com risco iminente de poluição hídrica ou descarte acidental de contaminantes em águas fluviais (ex: Sistema de Combustível e Combate a Incêndio).</w:t>
      </w:r>
    </w:p>
    <w:p>
      <w:pPr>
        <w:pStyle w:val="NormalWeb"/>
        <w:numPr>
          <w:ilvl w:val="0"/>
          <w:numId w:val="3"/>
        </w:numPr>
        <w:spacing w:before="4" w:after="4"/>
        <w:jc w:val="both"/>
        <w:rPr/>
      </w:pPr>
      <w:r>
        <w:rPr>
          <w:b/>
          <w:bCs/>
        </w:rPr>
        <w:t>Operação e Qualidade:</w:t>
      </w:r>
      <w:r>
        <w:rPr/>
        <w:t xml:space="preserve"> Ativos essenciais para a continuidade do transporte e manobrabilidade dos empurradores (ex: Sistema de Propulsão).</w:t>
      </w:r>
    </w:p>
    <w:p>
      <w:pPr>
        <w:pStyle w:val="NormalWeb"/>
        <w:spacing w:before="4" w:after="4"/>
        <w:ind w:start="720" w:end="0"/>
        <w:jc w:val="both"/>
        <w:rPr/>
      </w:pPr>
      <w:r>
        <w:rPr/>
      </w:r>
    </w:p>
    <w:p>
      <w:pPr>
        <w:pStyle w:val="ds-markdown-paragraph"/>
        <w:shd w:fill="FFFFFF" w:val="clear"/>
        <w:spacing w:before="240" w:after="240"/>
        <w:ind w:hanging="284" w:start="284" w:end="0"/>
        <w:jc w:val="both"/>
        <w:rPr>
          <w:rFonts w:ascii="Arial" w:hAnsi="Arial" w:cs="Arial"/>
          <w:color w:val="0F1115"/>
          <w:sz w:val="20"/>
          <w:szCs w:val="20"/>
        </w:rPr>
      </w:pPr>
      <w:r>
        <w:rPr>
          <w:rFonts w:eastAsia="Arial" w:cs="Arial" w:ascii="Arial" w:hAnsi="Arial"/>
          <w:color w:val="0F1115"/>
          <w:sz w:val="20"/>
          <w:szCs w:val="20"/>
        </w:rPr>
        <w:t xml:space="preserve">     </w:t>
      </w:r>
      <w:r>
        <w:rPr>
          <w:rFonts w:cs="Arial" w:ascii="Arial" w:hAnsi="Arial"/>
          <w:color w:val="0F1115"/>
          <w:sz w:val="20"/>
          <w:szCs w:val="20"/>
        </w:rPr>
        <w:t>NOTA: Todos os equipamentos críticos devem dispor de manual de operação. Operadores devem receber treinamento conforme NR-11 e NR-12, ministrado por profissional qualificado. Evidências disponíveis no Setor de Segurança do Trabalho.</w:t>
      </w:r>
    </w:p>
    <w:p>
      <w:pPr>
        <w:pStyle w:val="ds-markdown-paragraph"/>
        <w:shd w:fill="FFFFFF" w:val="clear"/>
        <w:spacing w:before="240" w:after="240"/>
        <w:ind w:start="426" w:end="0"/>
        <w:rPr/>
      </w:pPr>
      <w:r>
        <w:rPr>
          <w:rStyle w:val="Emphasis"/>
          <w:rFonts w:cs="Arial" w:ascii="Arial" w:hAnsi="Arial"/>
          <w:b/>
          <w:bCs/>
          <w:i w:val="false"/>
          <w:iCs w:val="false"/>
          <w:color w:val="0F1115"/>
          <w:sz w:val="20"/>
          <w:szCs w:val="20"/>
        </w:rPr>
        <w:t>6.3 Relação de Equipamentos Críticos</w:t>
      </w:r>
    </w:p>
    <w:tbl>
      <w:tblPr>
        <w:tblW w:w="9493" w:type="dxa"/>
        <w:jc w:val="start"/>
        <w:tblInd w:w="75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254"/>
        <w:gridCol w:w="1494"/>
        <w:gridCol w:w="2388"/>
        <w:gridCol w:w="2525"/>
        <w:gridCol w:w="1832"/>
      </w:tblGrid>
      <w:tr>
        <w:trPr>
          <w:trHeight w:val="559" w:hRule="atLeast"/>
        </w:trPr>
        <w:tc>
          <w:tcPr>
            <w:tcW w:w="1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  <w:lang w:eastAsia="pt-BR"/>
              </w:rPr>
              <w:t>Sistema Operacional</w:t>
            </w:r>
          </w:p>
        </w:tc>
        <w:tc>
          <w:tcPr>
            <w:tcW w:w="14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cs="Arial" w:ascii="Arial" w:hAnsi="Arial"/>
                <w:b/>
                <w:bCs/>
                <w:sz w:val="16"/>
                <w:szCs w:val="16"/>
                <w:lang w:eastAsia="pt-BR"/>
              </w:rPr>
              <w:t>Ativo Crítico Mapeado</w:t>
            </w:r>
          </w:p>
        </w:tc>
        <w:tc>
          <w:tcPr>
            <w:tcW w:w="238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  <w:lang w:eastAsia="pt-BR"/>
              </w:rPr>
              <w:t>Impacto de Risco / Causa Raiz</w:t>
            </w:r>
          </w:p>
        </w:tc>
        <w:tc>
          <w:tcPr>
            <w:tcW w:w="252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  <w:lang w:eastAsia="pt-BR"/>
              </w:rPr>
              <w:t>Controle e Ação técnica</w:t>
            </w:r>
          </w:p>
        </w:tc>
        <w:tc>
          <w:tcPr>
            <w:tcW w:w="183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  <w:lang w:eastAsia="pt-BR"/>
              </w:rPr>
              <w:t>Gatilho / Frequência</w:t>
            </w:r>
          </w:p>
        </w:tc>
      </w:tr>
      <w:tr>
        <w:trPr>
          <w:trHeight w:val="899" w:hRule="atLeast"/>
        </w:trPr>
        <w:tc>
          <w:tcPr>
            <w:tcW w:w="12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b/>
                <w:bCs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b/>
                <w:bCs/>
                <w:color w:val="0F1115"/>
                <w:sz w:val="16"/>
                <w:szCs w:val="16"/>
              </w:rPr>
              <w:t>1.Sistema de Propulsão</w:t>
            </w:r>
          </w:p>
        </w:tc>
        <w:tc>
          <w:tcPr>
            <w:tcW w:w="1494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Motores principais Mitsubishi (S6R2 / S6R) e Reversores/Redutores (Hitachi, Masson e Reintjes)</w:t>
            </w:r>
          </w:p>
        </w:tc>
        <w:tc>
          <w:tcPr>
            <w:tcW w:w="238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Avaria mecânica severa por fadiga ou perda de pressão; colisão direta de comboios e comboio à deriva.</w:t>
            </w:r>
          </w:p>
        </w:tc>
        <w:tc>
          <w:tcPr>
            <w:tcW w:w="2525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Monitoramento visual do padrão da fumaça de escape, controle do nível de óleo por vareta mecânica e verificação de ruídos/vibrações incomuns.</w:t>
            </w:r>
          </w:p>
        </w:tc>
        <w:tc>
          <w:tcPr>
            <w:tcW w:w="1832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76" w:before="0" w:after="70"/>
              <w:jc w:val="both"/>
              <w:rPr>
                <w:sz w:val="14"/>
                <w:szCs w:val="14"/>
              </w:rPr>
            </w:pPr>
            <w:r>
              <w:rPr>
                <w:rFonts w:eastAsia="Arial" w:cs="Arial" w:ascii="Arial" w:hAnsi="Arial"/>
                <w:sz w:val="14"/>
                <w:szCs w:val="14"/>
              </w:rPr>
              <w:t>Inspeção antes da saída (item 5.3) e inspeção diária em viagem (item 5.4).</w:t>
            </w:r>
          </w:p>
          <w:p>
            <w:pPr>
              <w:pStyle w:val="Normal"/>
              <w:suppressAutoHyphens w:val="false"/>
              <w:rPr>
                <w:rFonts w:ascii="Arial" w:hAnsi="Arial" w:cs="Arial"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</w:r>
          </w:p>
        </w:tc>
      </w:tr>
      <w:tr>
        <w:trPr>
          <w:trHeight w:val="699" w:hRule="atLeast"/>
        </w:trPr>
        <w:tc>
          <w:tcPr>
            <w:tcW w:w="12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b/>
                <w:bCs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b/>
                <w:bCs/>
                <w:sz w:val="14"/>
                <w:szCs w:val="14"/>
                <w:lang w:eastAsia="pt-BR"/>
              </w:rPr>
              <w:t>2. Manobrabilidade e Governo</w:t>
            </w:r>
          </w:p>
        </w:tc>
        <w:tc>
          <w:tcPr>
            <w:tcW w:w="1494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/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Cilindro Hidráulico do Leme, Bombas e Orbitrol</w:t>
            </w:r>
          </w:p>
        </w:tc>
        <w:tc>
          <w:tcPr>
            <w:tcW w:w="238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Travamento mecânico ou perda súbita de fluido por estouro de mangueira, resultando em perda total de governo.</w:t>
            </w:r>
          </w:p>
        </w:tc>
        <w:tc>
          <w:tcPr>
            <w:tcW w:w="2525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Inspeção diária visual de mangueiras de alta pressão (procura por bolhas, fissuras) e teste de batente antes de desatracar.</w:t>
            </w:r>
          </w:p>
        </w:tc>
        <w:tc>
          <w:tcPr>
            <w:tcW w:w="1832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Check pré-operação diário e monitoramento de pressão no painel.</w:t>
            </w:r>
          </w:p>
        </w:tc>
      </w:tr>
      <w:tr>
        <w:trPr>
          <w:trHeight w:val="982" w:hRule="atLeast"/>
        </w:trPr>
        <w:tc>
          <w:tcPr>
            <w:tcW w:w="12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b/>
                <w:bCs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b/>
                <w:bCs/>
                <w:sz w:val="14"/>
                <w:szCs w:val="14"/>
                <w:lang w:eastAsia="pt-BR"/>
              </w:rPr>
              <w:t>3. Geração Elétrica de Bordo</w:t>
            </w:r>
          </w:p>
        </w:tc>
        <w:tc>
          <w:tcPr>
            <w:tcW w:w="1494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Grupo Gerador Auxiliar (MCA) e Alternador Bambozzi 30 kVA</w:t>
            </w:r>
          </w:p>
        </w:tc>
        <w:tc>
          <w:tcPr>
            <w:tcW w:w="238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/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Blackout total na embarcação; apagamento de instrumentos de navegação noturna e falha de bombas.</w:t>
            </w:r>
          </w:p>
        </w:tc>
        <w:tc>
          <w:tcPr>
            <w:tcW w:w="2525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Exame visual de bornes e cabos de bateria (limpeza/aperto), conferência do nível de solução e teste de carga no arranque.</w:t>
            </w:r>
          </w:p>
        </w:tc>
        <w:tc>
          <w:tcPr>
            <w:tcW w:w="1832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76" w:before="0" w:after="60"/>
              <w:rPr>
                <w:sz w:val="14"/>
                <w:szCs w:val="14"/>
              </w:rPr>
            </w:pPr>
            <w:r>
              <w:rPr>
                <w:rFonts w:eastAsia="Arial" w:cs="Arial" w:ascii="Arial" w:hAnsi="Arial"/>
                <w:sz w:val="14"/>
                <w:szCs w:val="14"/>
              </w:rPr>
              <w:t>Inspeção antes da saída (item 5.3) e inspeção diária em viagem (item 5.4).</w:t>
            </w:r>
          </w:p>
          <w:p>
            <w:pPr>
              <w:pStyle w:val="Normal"/>
              <w:suppressAutoHyphens w:val="false"/>
              <w:rPr>
                <w:rFonts w:ascii="Arial" w:hAnsi="Arial" w:cs="Arial"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</w:r>
          </w:p>
        </w:tc>
      </w:tr>
      <w:tr>
        <w:trPr>
          <w:trHeight w:val="587" w:hRule="atLeast"/>
        </w:trPr>
        <w:tc>
          <w:tcPr>
            <w:tcW w:w="12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b/>
                <w:bCs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b/>
                <w:bCs/>
                <w:sz w:val="14"/>
                <w:szCs w:val="14"/>
                <w:lang w:eastAsia="pt-BR"/>
              </w:rPr>
              <w:t>4. Resposta a Emergências</w:t>
            </w:r>
          </w:p>
        </w:tc>
        <w:tc>
          <w:tcPr>
            <w:tcW w:w="1494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Motobomba de Combate a Incêndio de Alta Pressão</w:t>
            </w:r>
          </w:p>
        </w:tc>
        <w:tc>
          <w:tcPr>
            <w:tcW w:w="238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Fogo fora de controle na praça de máquinas ou em balsas por indisponibilidade de recalque.</w:t>
            </w:r>
          </w:p>
        </w:tc>
        <w:tc>
          <w:tcPr>
            <w:tcW w:w="2525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Simulado de partida rápida com motor frio; inspeção visual de corrosão na carcaça e alinhamento de suportes.</w:t>
            </w:r>
          </w:p>
        </w:tc>
        <w:tc>
          <w:tcPr>
            <w:tcW w:w="1832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/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Teste mecânico de funcionamento Semestral com registro em folha de bordo.</w:t>
            </w:r>
          </w:p>
        </w:tc>
      </w:tr>
      <w:tr>
        <w:trPr>
          <w:trHeight w:val="751" w:hRule="atLeast"/>
        </w:trPr>
        <w:tc>
          <w:tcPr>
            <w:tcW w:w="12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b/>
                <w:bCs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b/>
                <w:bCs/>
                <w:sz w:val="14"/>
                <w:szCs w:val="14"/>
                <w:lang w:eastAsia="pt-BR"/>
              </w:rPr>
              <w:t xml:space="preserve">5. Salvaguarda e Flutuabilidade </w:t>
            </w:r>
            <w:r>
              <w:rPr>
                <w:rFonts w:cs="Arial" w:ascii="Arial" w:hAnsi="Arial"/>
                <w:sz w:val="14"/>
                <w:szCs w:val="14"/>
                <w:lang w:eastAsia="pt-BR"/>
              </w:rPr>
              <w:t>(Sensores, Bombas de Porão e Linha de Eixos)</w:t>
            </w:r>
          </w:p>
        </w:tc>
        <w:tc>
          <w:tcPr>
            <w:tcW w:w="1494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Sensores de Nível e Bombas Centrífugas de Porão</w:t>
            </w:r>
          </w:p>
        </w:tc>
        <w:tc>
          <w:tcPr>
            <w:tcW w:w="238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Alagamento silencioso da praça de máquinas ou porões, progredindo para adernamento ou sinistro.</w:t>
            </w:r>
          </w:p>
        </w:tc>
        <w:tc>
          <w:tcPr>
            <w:tcW w:w="2525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Teste manual do braço atuador das boias, acionamento das bombas e ajuste do gotejamento das gaxetas do eixo.</w:t>
            </w:r>
          </w:p>
        </w:tc>
        <w:tc>
          <w:tcPr>
            <w:tcW w:w="1832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Inspeção visual diária do porão e teste de sensores semanal.</w:t>
            </w:r>
          </w:p>
        </w:tc>
      </w:tr>
      <w:tr>
        <w:trPr>
          <w:trHeight w:val="847" w:hRule="atLeast"/>
        </w:trPr>
        <w:tc>
          <w:tcPr>
            <w:tcW w:w="12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b/>
                <w:bCs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b/>
                <w:bCs/>
                <w:sz w:val="14"/>
                <w:szCs w:val="14"/>
                <w:lang w:eastAsia="pt-BR"/>
              </w:rPr>
              <w:t>6. Alimentação de Combustível</w:t>
            </w:r>
          </w:p>
        </w:tc>
        <w:tc>
          <w:tcPr>
            <w:tcW w:w="1494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/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Filtros Separadores (Racor) e Válvulas de Fechamento Rápido</w:t>
            </w:r>
          </w:p>
        </w:tc>
        <w:tc>
          <w:tcPr>
            <w:tcW w:w="238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Contaminação por água causando corte súbito de potência; vazamento de diesel com risco de ignição.</w:t>
            </w:r>
          </w:p>
        </w:tc>
        <w:tc>
          <w:tcPr>
            <w:tcW w:w="2525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Drenagem física e purga do copo sedimentador; inspeção de trincas nas vedações e teste das válvulas de corte.</w:t>
            </w:r>
          </w:p>
        </w:tc>
        <w:tc>
          <w:tcPr>
            <w:tcW w:w="1832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/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Drenagem diária na rotina matinal e teste das válvulas trimestral.</w:t>
            </w:r>
          </w:p>
        </w:tc>
      </w:tr>
      <w:tr>
        <w:trPr>
          <w:trHeight w:val="829" w:hRule="atLeast"/>
        </w:trPr>
        <w:tc>
          <w:tcPr>
            <w:tcW w:w="12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/>
            </w:pPr>
            <w:r>
              <w:rPr>
                <w:rFonts w:cs="Arial" w:ascii="Arial" w:hAnsi="Arial"/>
                <w:b/>
                <w:bCs/>
                <w:sz w:val="14"/>
                <w:szCs w:val="14"/>
                <w:lang w:eastAsia="pt-BR"/>
              </w:rPr>
              <w:t>7. Sinalização e Comunicação</w:t>
            </w:r>
          </w:p>
        </w:tc>
        <w:tc>
          <w:tcPr>
            <w:tcW w:w="1494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Rádio VHF Fixo, Luzes de Navegação.</w:t>
            </w:r>
          </w:p>
        </w:tc>
        <w:tc>
          <w:tcPr>
            <w:tcW w:w="238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Incomunicabilidade em sinistros; colisão por falta de sinalização noturna; falha na parada remota.</w:t>
            </w:r>
          </w:p>
        </w:tc>
        <w:tc>
          <w:tcPr>
            <w:tcW w:w="2525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/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Teste prático de rádio; verificação noturna da sinalização; teste mecânico do botão de emergência.</w:t>
            </w:r>
          </w:p>
        </w:tc>
        <w:tc>
          <w:tcPr>
            <w:tcW w:w="1832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76" w:before="0" w:after="60"/>
              <w:rPr>
                <w:sz w:val="14"/>
                <w:szCs w:val="14"/>
              </w:rPr>
            </w:pPr>
            <w:r>
              <w:rPr>
                <w:rFonts w:eastAsia="Arial" w:cs="Arial" w:ascii="Arial" w:hAnsi="Arial"/>
                <w:sz w:val="14"/>
                <w:szCs w:val="14"/>
              </w:rPr>
              <w:t>Rádio VHF e sinalização: verificação diária antes da navegação. Botão de parada de emergência: teste a cada saída do porto (item 5.3).</w:t>
            </w:r>
          </w:p>
          <w:p>
            <w:pPr>
              <w:pStyle w:val="Normal"/>
              <w:suppressAutoHyphens w:val="false"/>
              <w:rPr>
                <w:rFonts w:ascii="Arial" w:hAnsi="Arial" w:cs="Arial"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</w:r>
          </w:p>
        </w:tc>
      </w:tr>
      <w:tr>
        <w:trPr>
          <w:trHeight w:val="698" w:hRule="atLeast"/>
        </w:trPr>
        <w:tc>
          <w:tcPr>
            <w:tcW w:w="12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/>
            </w:pPr>
            <w:r>
              <w:rPr>
                <w:rFonts w:cs="Arial" w:ascii="Arial" w:hAnsi="Arial"/>
                <w:b/>
                <w:bCs/>
                <w:sz w:val="14"/>
                <w:szCs w:val="14"/>
                <w:lang w:eastAsia="pt-BR"/>
              </w:rPr>
              <w:t>8. Fainas de Amarra e Carga</w:t>
            </w:r>
          </w:p>
        </w:tc>
        <w:tc>
          <w:tcPr>
            <w:tcW w:w="1494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Guinchos de Amarra, Molinetes e Cabos de Aço de Fixação</w:t>
            </w:r>
          </w:p>
        </w:tc>
        <w:tc>
          <w:tcPr>
            <w:tcW w:w="238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Rompimento de cabos sob tensão extrema; balsas à deriva e risco de esmagamento de tripulantes.</w:t>
            </w:r>
          </w:p>
        </w:tc>
        <w:tc>
          <w:tcPr>
            <w:tcW w:w="2525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>
                <w:rFonts w:ascii="Arial" w:hAnsi="Arial" w:cs="Arial"/>
                <w:sz w:val="14"/>
                <w:szCs w:val="14"/>
                <w:lang w:eastAsia="pt-BR"/>
              </w:rPr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Inspeção visual minuciosa buscando fios partidos, amassamentos ou corrosão e verificação dos freios.</w:t>
            </w:r>
          </w:p>
        </w:tc>
        <w:tc>
          <w:tcPr>
            <w:tcW w:w="1832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rPr/>
            </w:pPr>
            <w:r>
              <w:rPr>
                <w:rFonts w:cs="Arial" w:ascii="Arial" w:hAnsi="Arial"/>
                <w:sz w:val="14"/>
                <w:szCs w:val="14"/>
                <w:lang w:eastAsia="pt-BR"/>
              </w:rPr>
              <w:t>Inspeção visual obrigatória a cada faina de engate/desengate.</w:t>
            </w:r>
          </w:p>
        </w:tc>
      </w:tr>
    </w:tbl>
    <w:p>
      <w:pPr>
        <w:pStyle w:val="NormalWeb"/>
        <w:spacing w:before="4" w:after="4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Web"/>
        <w:spacing w:before="4" w:after="4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Web"/>
        <w:spacing w:before="4" w:after="4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Web"/>
        <w:spacing w:before="4" w:after="4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Web"/>
        <w:spacing w:before="4" w:after="4"/>
        <w:rPr/>
      </w:pPr>
      <w:r>
        <w:rPr>
          <w:rFonts w:cs="Arial" w:ascii="Arial" w:hAnsi="Arial"/>
          <w:b/>
          <w:bCs/>
          <w:sz w:val="24"/>
          <w:szCs w:val="24"/>
        </w:rPr>
        <w:t xml:space="preserve">7.0 -  </w:t>
      </w:r>
      <w:r>
        <w:rPr>
          <w:rFonts w:cs="Arial"/>
          <w:b/>
          <w:bCs/>
          <w:sz w:val="24"/>
          <w:szCs w:val="24"/>
        </w:rPr>
        <w:t>PLANO DE MANUTENÇÃO PREVENTIVA E PREDITIVA</w:t>
      </w:r>
    </w:p>
    <w:p>
      <w:pPr>
        <w:pStyle w:val="ds-markdown-paragraph"/>
        <w:shd w:fill="FFFFFF" w:val="clear"/>
        <w:spacing w:before="0" w:after="0"/>
        <w:rPr>
          <w:rStyle w:val="Strong"/>
          <w:rFonts w:ascii="Arial" w:hAnsi="Arial" w:cs="Arial"/>
          <w:color w:val="0F1115"/>
          <w:sz w:val="20"/>
          <w:szCs w:val="20"/>
        </w:rPr>
      </w:pPr>
      <w:r>
        <w:rPr>
          <w:rFonts w:cs="Arial"/>
          <w:b/>
          <w:bCs/>
          <w:sz w:val="24"/>
          <w:szCs w:val="24"/>
        </w:rPr>
      </w:r>
    </w:p>
    <w:p>
      <w:pPr>
        <w:pStyle w:val="ds-markdown-paragraph"/>
        <w:shd w:fill="FFFFFF" w:val="clear"/>
        <w:spacing w:before="0" w:after="0"/>
        <w:rPr>
          <w:rStyle w:val="Strong"/>
          <w:rFonts w:ascii="Arial" w:hAnsi="Arial" w:cs="Arial"/>
          <w:color w:val="0F1115"/>
          <w:sz w:val="20"/>
          <w:szCs w:val="20"/>
        </w:rPr>
      </w:pPr>
      <w:r>
        <w:rPr>
          <w:rStyle w:val="Strong"/>
          <w:rFonts w:cs="Arial" w:ascii="Arial" w:hAnsi="Arial"/>
          <w:color w:val="0F1115"/>
          <w:sz w:val="20"/>
          <w:szCs w:val="20"/>
        </w:rPr>
        <w:t>7.1  Visão Geral dos Sistemas</w:t>
      </w:r>
    </w:p>
    <w:p>
      <w:pPr>
        <w:pStyle w:val="ds-markdown-paragraph"/>
        <w:shd w:fill="FFFFFF" w:val="clear"/>
        <w:spacing w:before="240" w:after="240"/>
        <w:rPr/>
      </w:pPr>
      <w:r>
        <w:rPr>
          <w:rFonts w:cs="Arial" w:ascii="Arial" w:hAnsi="Arial"/>
          <w:color w:val="0F1115"/>
          <w:sz w:val="20"/>
          <w:szCs w:val="20"/>
        </w:rPr>
        <w:t>ITEM</w:t>
        <w:tab/>
        <w:t>SISTEMA</w:t>
      </w:r>
    </w:p>
    <w:p>
      <w:pPr>
        <w:pStyle w:val="ds-markdown-paragraph"/>
        <w:shd w:fill="FFFFFF" w:val="clear"/>
        <w:spacing w:before="0" w:after="0"/>
        <w:rPr/>
      </w:pPr>
      <w:r>
        <w:rPr>
          <w:rFonts w:cs="Arial" w:ascii="Arial" w:hAnsi="Arial"/>
          <w:color w:val="0F1115"/>
          <w:sz w:val="20"/>
          <w:szCs w:val="20"/>
        </w:rPr>
        <w:t>1.0 Sistema de Propulsão</w:t>
      </w:r>
    </w:p>
    <w:p>
      <w:pPr>
        <w:pStyle w:val="ds-markdown-paragraph"/>
        <w:shd w:fill="FFFFFF" w:val="clear"/>
        <w:spacing w:before="0" w:after="0"/>
        <w:rPr>
          <w:rFonts w:ascii="Arial" w:hAnsi="Arial" w:cs="Arial"/>
          <w:color w:val="0F1115"/>
          <w:sz w:val="20"/>
          <w:szCs w:val="20"/>
        </w:rPr>
      </w:pPr>
      <w:r>
        <w:rPr>
          <w:rFonts w:cs="Arial" w:ascii="Arial" w:hAnsi="Arial"/>
          <w:color w:val="0F1115"/>
          <w:sz w:val="20"/>
          <w:szCs w:val="20"/>
        </w:rPr>
        <w:t xml:space="preserve">2.0 </w:t>
      </w:r>
      <w:r>
        <w:rPr>
          <w:rFonts w:cs="Arial" w:ascii="Arial" w:hAnsi="Arial"/>
          <w:sz w:val="20"/>
          <w:szCs w:val="20"/>
        </w:rPr>
        <w:t>Manobrabilidade e Governo</w:t>
      </w:r>
    </w:p>
    <w:p>
      <w:pPr>
        <w:pStyle w:val="ds-markdown-paragraph"/>
        <w:shd w:fill="FFFFFF" w:val="clear"/>
        <w:spacing w:before="0" w:after="0"/>
        <w:rPr>
          <w:rFonts w:ascii="Arial" w:hAnsi="Arial" w:cs="Arial"/>
          <w:color w:val="0F1115"/>
          <w:sz w:val="20"/>
          <w:szCs w:val="20"/>
        </w:rPr>
      </w:pPr>
      <w:r>
        <w:rPr>
          <w:rFonts w:cs="Arial" w:ascii="Arial" w:hAnsi="Arial"/>
          <w:color w:val="0F1115"/>
          <w:sz w:val="20"/>
          <w:szCs w:val="20"/>
        </w:rPr>
        <w:t xml:space="preserve">3.0 </w:t>
      </w:r>
      <w:r>
        <w:rPr>
          <w:rFonts w:cs="Arial" w:ascii="Arial" w:hAnsi="Arial"/>
          <w:sz w:val="20"/>
          <w:szCs w:val="20"/>
        </w:rPr>
        <w:t>Geração Elétrica de Bordo</w:t>
      </w:r>
    </w:p>
    <w:p>
      <w:pPr>
        <w:pStyle w:val="ds-markdown-paragraph"/>
        <w:shd w:fill="FFFFFF" w:val="clear"/>
        <w:spacing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color w:val="0F1115"/>
          <w:sz w:val="20"/>
          <w:szCs w:val="20"/>
        </w:rPr>
        <w:t xml:space="preserve">4.0 </w:t>
      </w:r>
      <w:r>
        <w:rPr>
          <w:rFonts w:cs="Arial" w:ascii="Arial" w:hAnsi="Arial"/>
          <w:sz w:val="20"/>
          <w:szCs w:val="20"/>
        </w:rPr>
        <w:t>Resposta a Emergências</w:t>
      </w:r>
    </w:p>
    <w:p>
      <w:pPr>
        <w:pStyle w:val="ds-markdown-paragraph"/>
        <w:shd w:fill="FFFFFF" w:val="clear"/>
        <w:spacing w:before="0" w:after="0"/>
        <w:rPr/>
      </w:pPr>
      <w:r>
        <w:rPr>
          <w:rFonts w:cs="Arial" w:ascii="Arial" w:hAnsi="Arial"/>
          <w:sz w:val="20"/>
          <w:szCs w:val="20"/>
        </w:rPr>
        <w:t>5.0 Salvaguarda e Flutuabilidade (Sensores, Bombas de Porão e Linha de Eixos)</w:t>
      </w:r>
    </w:p>
    <w:p>
      <w:pPr>
        <w:pStyle w:val="ds-markdown-paragraph"/>
        <w:shd w:fill="FFFFFF" w:val="clear"/>
        <w:spacing w:before="0" w:after="0"/>
        <w:rPr/>
      </w:pPr>
      <w:r>
        <w:rPr>
          <w:rFonts w:cs="Arial" w:ascii="Arial" w:hAnsi="Arial"/>
          <w:sz w:val="20"/>
          <w:szCs w:val="20"/>
        </w:rPr>
        <w:t>6.0 Alimentação de Combustível</w:t>
      </w:r>
    </w:p>
    <w:p>
      <w:pPr>
        <w:pStyle w:val="ds-markdown-paragraph"/>
        <w:shd w:fill="FFFFFF" w:val="clear"/>
        <w:spacing w:before="0" w:after="0"/>
        <w:rPr/>
      </w:pPr>
      <w:r>
        <w:rPr>
          <w:rFonts w:cs="Arial" w:ascii="Arial" w:hAnsi="Arial"/>
          <w:sz w:val="20"/>
          <w:szCs w:val="20"/>
        </w:rPr>
        <w:t>7.0 Sinalização e Comunicação</w:t>
      </w:r>
    </w:p>
    <w:p>
      <w:pPr>
        <w:pStyle w:val="Normal"/>
        <w:suppressAutoHyphens w:val="false"/>
        <w:rPr>
          <w:rFonts w:ascii="Arial" w:hAnsi="Arial" w:cs="Arial"/>
          <w:lang w:eastAsia="pt-BR"/>
        </w:rPr>
      </w:pPr>
      <w:r>
        <w:rPr>
          <w:rFonts w:cs="Arial" w:ascii="Arial" w:hAnsi="Arial"/>
          <w:lang w:eastAsia="pt-BR"/>
        </w:rPr>
        <w:t>8.0 Fainas de Amarra e Carga</w:t>
      </w:r>
    </w:p>
    <w:p>
      <w:pPr>
        <w:pStyle w:val="Normal"/>
        <w:suppressAutoHyphens w:val="false"/>
        <w:rPr>
          <w:rFonts w:ascii="Arial" w:hAnsi="Arial" w:cs="Arial"/>
          <w:lang w:eastAsia="pt-BR"/>
        </w:rPr>
      </w:pPr>
      <w:r>
        <w:rPr>
          <w:rFonts w:cs="Arial" w:ascii="Arial" w:hAnsi="Arial"/>
          <w:lang w:eastAsia="pt-BR"/>
        </w:rPr>
        <w:t>9.0 Casco e Estrutura</w:t>
      </w:r>
    </w:p>
    <w:p>
      <w:pPr>
        <w:pStyle w:val="Normal"/>
        <w:suppressAutoHyphens w:val="false"/>
        <w:rPr>
          <w:rFonts w:ascii="Arial" w:hAnsi="Arial" w:cs="Arial"/>
          <w:lang w:eastAsia="pt-BR"/>
        </w:rPr>
      </w:pPr>
      <w:r>
        <w:rPr>
          <w:rFonts w:cs="Arial" w:ascii="Arial" w:hAnsi="Arial"/>
          <w:lang w:eastAsia="pt-BR"/>
        </w:rPr>
        <w:t>10.0 Habitabilidade</w:t>
      </w:r>
    </w:p>
    <w:p>
      <w:pPr>
        <w:pStyle w:val="Normal"/>
        <w:suppressAutoHyphens w:val="false"/>
        <w:rPr>
          <w:rFonts w:ascii="Arial" w:hAnsi="Arial" w:cs="Arial"/>
          <w:lang w:eastAsia="pt-BR"/>
        </w:rPr>
      </w:pPr>
      <w:r>
        <w:rPr>
          <w:rFonts w:cs="Arial" w:ascii="Arial" w:hAnsi="Arial"/>
          <w:lang w:eastAsia="pt-BR"/>
        </w:rPr>
        <w:t>11.0 Auxílio à Navegação</w:t>
      </w:r>
    </w:p>
    <w:p>
      <w:pPr>
        <w:pStyle w:val="ds-markdown-paragraph"/>
        <w:shd w:fill="FFFFFF" w:val="clear"/>
        <w:spacing w:before="0" w:after="0"/>
        <w:rPr>
          <w:rFonts w:ascii="Arial" w:hAnsi="Arial" w:cs="Arial"/>
          <w:color w:val="0F1115"/>
          <w:sz w:val="20"/>
          <w:szCs w:val="20"/>
          <w:lang w:eastAsia="pt-BR"/>
        </w:rPr>
      </w:pPr>
      <w:r>
        <w:rPr>
          <w:rFonts w:cs="Arial" w:ascii="Arial" w:hAnsi="Arial"/>
          <w:color w:val="0F1115"/>
          <w:sz w:val="20"/>
          <w:szCs w:val="20"/>
          <w:lang w:eastAsia="pt-BR"/>
        </w:rPr>
      </w:r>
    </w:p>
    <w:p>
      <w:pPr>
        <w:pStyle w:val="ds-markdown-paragraph"/>
        <w:shd w:fill="FFFFFF" w:val="clear"/>
        <w:spacing w:before="0" w:after="0"/>
        <w:rPr>
          <w:rStyle w:val="Strong"/>
          <w:rFonts w:ascii="Arial" w:hAnsi="Arial" w:cs="Arial"/>
          <w:color w:val="0F1115"/>
          <w:sz w:val="20"/>
          <w:szCs w:val="20"/>
        </w:rPr>
      </w:pPr>
      <w:r>
        <w:rPr>
          <w:rFonts w:cs="Arial" w:ascii="Arial" w:hAnsi="Arial"/>
          <w:color w:val="0F1115"/>
          <w:sz w:val="20"/>
          <w:szCs w:val="20"/>
        </w:rPr>
      </w:r>
    </w:p>
    <w:p>
      <w:pPr>
        <w:pStyle w:val="ds-markdown-paragraph"/>
        <w:shd w:fill="FFFFFF" w:val="clear"/>
        <w:spacing w:before="0" w:after="0"/>
        <w:rPr>
          <w:rStyle w:val="Strong"/>
          <w:rFonts w:ascii="Arial" w:hAnsi="Arial" w:cs="Arial"/>
          <w:color w:val="0F1115"/>
          <w:sz w:val="20"/>
          <w:szCs w:val="20"/>
        </w:rPr>
      </w:pPr>
      <w:r>
        <w:rPr/>
      </w:r>
    </w:p>
    <w:p>
      <w:pPr>
        <w:pStyle w:val="ds-markdown-paragraph"/>
        <w:shd w:fill="FFFFFF" w:val="clear"/>
        <w:spacing w:before="0" w:after="0"/>
        <w:rPr>
          <w:rStyle w:val="Strong"/>
          <w:rFonts w:ascii="Arial" w:hAnsi="Arial" w:cs="Arial"/>
          <w:color w:val="0F1115"/>
          <w:sz w:val="20"/>
          <w:szCs w:val="20"/>
        </w:rPr>
      </w:pPr>
      <w:r>
        <w:rPr/>
      </w:r>
    </w:p>
    <w:p>
      <w:pPr>
        <w:pStyle w:val="ds-markdown-paragraph"/>
        <w:shd w:fill="FFFFFF" w:val="clear"/>
        <w:spacing w:before="0" w:after="0"/>
        <w:rPr>
          <w:rStyle w:val="Strong"/>
          <w:rFonts w:ascii="Arial" w:hAnsi="Arial" w:cs="Arial"/>
          <w:color w:val="0F1115"/>
          <w:sz w:val="20"/>
          <w:szCs w:val="20"/>
        </w:rPr>
      </w:pPr>
      <w:r>
        <w:rPr/>
      </w:r>
    </w:p>
    <w:p>
      <w:pPr>
        <w:pStyle w:val="ds-markdown-paragraph"/>
        <w:shd w:fill="FFFFFF" w:val="clear"/>
        <w:spacing w:before="0" w:after="0"/>
        <w:rPr>
          <w:rStyle w:val="Strong"/>
          <w:rFonts w:ascii="Arial" w:hAnsi="Arial" w:cs="Arial"/>
          <w:color w:val="0F1115"/>
          <w:sz w:val="20"/>
          <w:szCs w:val="20"/>
        </w:rPr>
      </w:pPr>
      <w:r>
        <w:rPr/>
      </w:r>
    </w:p>
    <w:p>
      <w:pPr>
        <w:pStyle w:val="ds-markdown-paragraph"/>
        <w:shd w:fill="FFFFFF" w:val="clear"/>
        <w:spacing w:before="0" w:after="0"/>
        <w:rPr>
          <w:rStyle w:val="Strong"/>
          <w:rFonts w:ascii="Arial" w:hAnsi="Arial" w:cs="Arial"/>
          <w:color w:val="0F1115"/>
          <w:sz w:val="20"/>
          <w:szCs w:val="20"/>
        </w:rPr>
      </w:pPr>
      <w:r>
        <w:rPr/>
      </w:r>
    </w:p>
    <w:p>
      <w:pPr>
        <w:pStyle w:val="ds-markdown-paragraph"/>
        <w:shd w:fill="FFFFFF" w:val="clear"/>
        <w:spacing w:before="0" w:after="0"/>
        <w:rPr>
          <w:rStyle w:val="Strong"/>
          <w:rFonts w:ascii="Arial" w:hAnsi="Arial" w:cs="Arial"/>
          <w:color w:val="0F1115"/>
          <w:sz w:val="20"/>
          <w:szCs w:val="20"/>
        </w:rPr>
      </w:pPr>
      <w:r>
        <w:rPr/>
      </w:r>
    </w:p>
    <w:p>
      <w:pPr>
        <w:pStyle w:val="ds-markdown-paragraph"/>
        <w:shd w:fill="FFFFFF" w:val="clear"/>
        <w:spacing w:before="0" w:after="0"/>
        <w:rPr>
          <w:rStyle w:val="Strong"/>
          <w:rFonts w:ascii="Arial" w:hAnsi="Arial" w:cs="Arial"/>
          <w:color w:val="0F1115"/>
          <w:sz w:val="20"/>
          <w:szCs w:val="20"/>
        </w:rPr>
      </w:pPr>
      <w:r>
        <w:rPr>
          <w:rStyle w:val="Strong"/>
          <w:rFonts w:cs="Arial" w:ascii="Arial" w:hAnsi="Arial"/>
          <w:color w:val="0F1115"/>
          <w:sz w:val="20"/>
          <w:szCs w:val="20"/>
        </w:rPr>
        <w:t>7.2 Execução da Manutenção</w:t>
      </w:r>
    </w:p>
    <w:p>
      <w:pPr>
        <w:pStyle w:val="ds-markdown-paragraph"/>
        <w:shd w:fill="FFFFFF" w:val="clear"/>
        <w:spacing w:before="0" w:after="0"/>
        <w:rPr>
          <w:rStyle w:val="Strong"/>
          <w:rFonts w:ascii="Arial" w:hAnsi="Arial" w:cs="Arial"/>
          <w:color w:val="0F1115"/>
          <w:sz w:val="20"/>
          <w:szCs w:val="20"/>
        </w:rPr>
      </w:pPr>
      <w:r>
        <w:rPr/>
      </w:r>
    </w:p>
    <w:p>
      <w:pPr>
        <w:pStyle w:val="ds-markdown-paragraph"/>
        <w:shd w:fill="FFFFFF" w:val="clear"/>
        <w:spacing w:before="0" w:after="0"/>
        <w:rPr>
          <w:rFonts w:ascii="Arial" w:hAnsi="Arial" w:cs="Arial"/>
          <w:b/>
          <w:bCs/>
          <w:color w:val="0F1115"/>
          <w:sz w:val="20"/>
          <w:szCs w:val="20"/>
        </w:rPr>
      </w:pPr>
      <w:r>
        <w:rPr>
          <w:rFonts w:cs="Arial" w:ascii="Arial" w:hAnsi="Arial"/>
          <w:color w:val="0F1115"/>
          <w:sz w:val="20"/>
          <w:szCs w:val="20"/>
        </w:rPr>
        <w:t>Cada item da manutenção (frequência, prioridade, norma de referência, informação técnica e procedimento executivo) está detalhado no </w:t>
      </w:r>
      <w:r>
        <w:rPr>
          <w:rStyle w:val="Strong"/>
          <w:rFonts w:cs="Arial" w:ascii="Arial" w:hAnsi="Arial"/>
          <w:color w:val="0F1115"/>
          <w:sz w:val="20"/>
          <w:szCs w:val="20"/>
        </w:rPr>
        <w:t xml:space="preserve">Anexo I – </w:t>
      </w:r>
      <w:r>
        <w:rPr>
          <w:rFonts w:cs="Arial" w:ascii="Arial" w:hAnsi="Arial"/>
          <w:b/>
          <w:bCs/>
          <w:color w:val="0F1115"/>
          <w:sz w:val="20"/>
          <w:szCs w:val="20"/>
        </w:rPr>
        <w:t xml:space="preserve">Matriz de Manutenção Preventiva </w:t>
      </w:r>
      <w:r>
        <w:rPr>
          <w:rFonts w:cs="Arial" w:ascii="Arial" w:hAnsi="Arial"/>
          <w:color w:val="0F1115"/>
          <w:sz w:val="20"/>
          <w:szCs w:val="20"/>
        </w:rPr>
        <w:t>(frequência, prioridade, norma de referência, informação técnica e procedimento executivo)</w:t>
      </w:r>
    </w:p>
    <w:p>
      <w:pPr>
        <w:pStyle w:val="ds-markdown-paragraph"/>
        <w:shd w:fill="FFFFFF" w:val="clear"/>
        <w:spacing w:before="0" w:after="0"/>
        <w:rPr>
          <w:rFonts w:ascii="Arial" w:hAnsi="Arial" w:cs="Arial"/>
          <w:b/>
          <w:bCs/>
          <w:color w:val="0F1115"/>
          <w:sz w:val="20"/>
          <w:szCs w:val="20"/>
        </w:rPr>
      </w:pPr>
      <w:r>
        <w:rPr>
          <w:rFonts w:cs="Arial" w:ascii="Arial" w:hAnsi="Arial"/>
          <w:b/>
          <w:bCs/>
          <w:color w:val="0F1115"/>
          <w:sz w:val="20"/>
          <w:szCs w:val="20"/>
        </w:rPr>
      </w:r>
    </w:p>
    <w:p>
      <w:pPr>
        <w:pStyle w:val="ds-markdown-paragraph"/>
        <w:shd w:fill="FFFFFF" w:val="clear"/>
        <w:spacing w:before="0" w:after="0"/>
        <w:rPr>
          <w:rFonts w:ascii="Arial" w:hAnsi="Arial" w:cs="Arial"/>
          <w:b/>
          <w:bCs/>
          <w:color w:val="0F1115"/>
          <w:sz w:val="20"/>
          <w:szCs w:val="20"/>
        </w:rPr>
      </w:pPr>
      <w:r>
        <w:rPr>
          <w:rFonts w:cs="Arial" w:ascii="Arial" w:hAnsi="Arial"/>
          <w:b/>
          <w:bCs/>
          <w:color w:val="0F1115"/>
          <w:sz w:val="20"/>
          <w:szCs w:val="20"/>
        </w:rPr>
      </w:r>
    </w:p>
    <w:p>
      <w:pPr>
        <w:pStyle w:val="ds-markdown-paragraph"/>
        <w:shd w:fill="FFFFFF" w:val="clear"/>
        <w:spacing w:before="0" w:after="0"/>
        <w:rPr>
          <w:rFonts w:ascii="Arial" w:hAnsi="Arial" w:cs="Arial"/>
          <w:color w:val="0F1115"/>
          <w:sz w:val="20"/>
          <w:szCs w:val="20"/>
        </w:rPr>
      </w:pPr>
      <w:r>
        <w:rPr>
          <w:rFonts w:cs="Arial" w:ascii="Arial" w:hAnsi="Arial"/>
          <w:color w:val="0F1115"/>
          <w:sz w:val="20"/>
          <w:szCs w:val="20"/>
        </w:rPr>
        <w:t>A equipe de manutenção deve:</w:t>
      </w:r>
    </w:p>
    <w:p>
      <w:pPr>
        <w:pStyle w:val="ds-markdown-paragraph"/>
        <w:shd w:fill="FFFFFF" w:val="clear"/>
        <w:spacing w:before="100" w:after="0"/>
        <w:rPr>
          <w:rFonts w:ascii="Arial" w:hAnsi="Arial" w:cs="Arial"/>
          <w:color w:val="0F1115"/>
          <w:sz w:val="20"/>
          <w:szCs w:val="20"/>
        </w:rPr>
      </w:pPr>
      <w:r>
        <w:rPr>
          <w:rFonts w:cs="Arial" w:ascii="Arial" w:hAnsi="Arial"/>
          <w:color w:val="0F1115"/>
          <w:sz w:val="20"/>
          <w:szCs w:val="20"/>
        </w:rPr>
        <w:t>Consultar o anexo antes de qualquer intervenção;</w:t>
      </w:r>
    </w:p>
    <w:p>
      <w:pPr>
        <w:pStyle w:val="ds-markdown-paragraph"/>
        <w:shd w:fill="FFFFFF" w:val="clear"/>
        <w:spacing w:before="100" w:after="0"/>
        <w:rPr>
          <w:rFonts w:ascii="Arial" w:hAnsi="Arial" w:cs="Arial"/>
          <w:color w:val="0F1115"/>
          <w:sz w:val="20"/>
          <w:szCs w:val="20"/>
        </w:rPr>
      </w:pPr>
      <w:r>
        <w:rPr>
          <w:rFonts w:cs="Arial" w:ascii="Arial" w:hAnsi="Arial"/>
          <w:color w:val="0F1115"/>
          <w:sz w:val="20"/>
          <w:szCs w:val="20"/>
        </w:rPr>
        <w:t>Seguir rigorosamente os torques, folgas, lubrificantes, capacidades e critérios de substituição ali especificados, bem como os intervalos de troca de óleo (horas ou meses, o que ocorrer primeiro) da Matriz técnica de equipamentos e lubrificação da frota;</w:t>
      </w:r>
    </w:p>
    <w:p>
      <w:pPr>
        <w:pStyle w:val="ds-markdown-paragraph"/>
        <w:shd w:fill="FFFFFF" w:val="clear"/>
        <w:spacing w:before="10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color w:val="0F1115"/>
          <w:sz w:val="20"/>
          <w:szCs w:val="20"/>
        </w:rPr>
        <w:t>Registrar a execução no Anexo II – Registro de Manutenção, anexando-o à OM no Sankhya.</w:t>
      </w:r>
      <w:r>
        <w:rPr>
          <w:rFonts w:cs="Arial" w:ascii="Arial" w:hAnsi="Arial"/>
          <w:sz w:val="20"/>
          <w:szCs w:val="20"/>
        </w:rPr>
        <w:t>.</w:t>
      </w:r>
    </w:p>
    <w:p>
      <w:pPr>
        <w:pStyle w:val="ds-markdown-paragraph"/>
        <w:shd w:fill="FFFFFF" w:val="clear"/>
        <w:spacing w:before="100" w:after="0"/>
        <w:rPr>
          <w:rFonts w:ascii="Arial" w:hAnsi="Arial" w:cs="Arial"/>
          <w:color w:val="0F1115"/>
          <w:sz w:val="20"/>
          <w:szCs w:val="20"/>
        </w:rPr>
      </w:pPr>
      <w:r>
        <w:rPr>
          <w:rFonts w:cs="Arial" w:ascii="Arial" w:hAnsi="Arial"/>
          <w:color w:val="0F1115"/>
          <w:sz w:val="20"/>
          <w:szCs w:val="20"/>
        </w:rPr>
      </w:r>
    </w:p>
    <w:p>
      <w:pPr>
        <w:pStyle w:val="ds-markdown-paragraph"/>
        <w:shd w:fill="FFFFFF" w:val="clear"/>
        <w:spacing w:before="100" w:after="0"/>
        <w:rPr>
          <w:rFonts w:ascii="Arial" w:hAnsi="Arial" w:cs="Arial"/>
          <w:b/>
          <w:bCs/>
          <w:color w:val="0F1115"/>
          <w:sz w:val="20"/>
          <w:szCs w:val="20"/>
        </w:rPr>
      </w:pPr>
      <w:r>
        <w:rPr>
          <w:rFonts w:cs="Arial" w:ascii="Arial" w:hAnsi="Arial"/>
          <w:b/>
          <w:bCs/>
          <w:color w:val="0F1115"/>
          <w:sz w:val="20"/>
          <w:szCs w:val="20"/>
        </w:rPr>
        <w:t>7.3 Programação e execução</w:t>
      </w:r>
    </w:p>
    <w:p>
      <w:pPr>
        <w:pStyle w:val="ds-markdown-paragraph"/>
        <w:shd w:fill="FFFFFF" w:val="clear"/>
        <w:spacing w:before="100" w:after="0"/>
        <w:rPr>
          <w:rFonts w:ascii="Arial" w:hAnsi="Arial" w:cs="Arial"/>
          <w:color w:val="0F1115"/>
          <w:sz w:val="20"/>
          <w:szCs w:val="20"/>
        </w:rPr>
      </w:pPr>
      <w:r>
        <w:rPr>
          <w:rFonts w:cs="Arial" w:ascii="Arial" w:hAnsi="Arial"/>
          <w:color w:val="0F1115"/>
          <w:sz w:val="20"/>
          <w:szCs w:val="20"/>
        </w:rPr>
        <w:br/>
        <w:t>As preventivas por horas são programadas pelo Supervisor de Manutenção antes de cada saída, com base nos horímetros do FR 027_L. As preventivas por calendário são programadas mensalmente. As OMs embarcam com a hora-alvo e são executadas pelo CTF/MFM ou pela equipe de manutenção, conforme designado na OM, e encerradas na chegada ao terminal. Nas trocas de óleo, o horímetro e o prazo em meses são limites independentes: a troca vence no que ocorrer primeiro (ex.: MCP a cada 350 h ou 6 meses), conforme a Matriz técnica de equipamentos e lubrificação da frota.</w:t>
      </w:r>
    </w:p>
    <w:p>
      <w:pPr>
        <w:pStyle w:val="ds-markdown-paragraph"/>
        <w:shd w:fill="FFFFFF" w:val="clear"/>
        <w:spacing w:before="100" w:after="0"/>
        <w:rPr>
          <w:rFonts w:ascii="Arial" w:hAnsi="Arial" w:cs="Arial"/>
          <w:b/>
          <w:bCs/>
          <w:color w:val="0F1115"/>
          <w:sz w:val="20"/>
          <w:szCs w:val="20"/>
        </w:rPr>
      </w:pPr>
      <w:r>
        <w:rPr>
          <w:rFonts w:cs="Arial" w:ascii="Arial" w:hAnsi="Arial"/>
          <w:b/>
          <w:bCs/>
          <w:color w:val="0F1115"/>
          <w:sz w:val="20"/>
          <w:szCs w:val="20"/>
        </w:rPr>
      </w:r>
    </w:p>
    <w:p>
      <w:pPr>
        <w:pStyle w:val="Normal"/>
        <w:spacing w:lineRule="auto" w:line="276" w:before="0" w:after="70"/>
        <w:jc w:val="both"/>
        <w:rPr/>
      </w:pPr>
      <w:r>
        <w:rPr>
          <w:rFonts w:cs="Arial" w:ascii="Arial" w:hAnsi="Arial"/>
          <w:b/>
          <w:bCs/>
          <w:color w:val="0F1115"/>
        </w:rPr>
        <w:t>7.4 Registro</w:t>
        <w:br/>
      </w:r>
      <w:r>
        <w:rPr>
          <w:rFonts w:cs="Arial" w:ascii="Arial" w:hAnsi="Arial"/>
          <w:color w:val="0F1115"/>
        </w:rPr>
        <w:t xml:space="preserve">A execução das manutenções preventivas e preditivas é registrada no Anexo II – Registro de Manutenção (formulário II-B), anexado à OM no Sankhya. </w:t>
      </w:r>
      <w:r>
        <w:rPr>
          <w:rFonts w:eastAsia="Arial" w:cs="Arial" w:ascii="Arial" w:hAnsi="Arial"/>
        </w:rPr>
        <w:t>Nas trocas de óleo e filtros, a execução também é registrada no FR 049_B.</w:t>
      </w:r>
    </w:p>
    <w:p>
      <w:pPr>
        <w:pStyle w:val="ds-markdown-paragraph"/>
        <w:shd w:fill="FFFFFF" w:val="clear"/>
        <w:spacing w:before="100" w:after="0"/>
        <w:rPr>
          <w:rFonts w:ascii="Arial" w:hAnsi="Arial" w:cs="Arial"/>
          <w:color w:val="0F1115"/>
          <w:sz w:val="20"/>
          <w:szCs w:val="20"/>
        </w:rPr>
      </w:pPr>
      <w:r>
        <w:rPr>
          <w:rFonts w:cs="Arial" w:ascii="Arial" w:hAnsi="Arial"/>
          <w:color w:val="0F1115"/>
          <w:sz w:val="20"/>
          <w:szCs w:val="20"/>
        </w:rPr>
      </w:r>
    </w:p>
    <w:p>
      <w:pPr>
        <w:pStyle w:val="NormalWeb"/>
        <w:spacing w:before="4" w:after="4"/>
        <w:rPr>
          <w:rFonts w:ascii="Arial" w:hAnsi="Arial" w:cs="Arial"/>
          <w:b/>
          <w:color w:val="0F1115"/>
          <w:sz w:val="20"/>
          <w:szCs w:val="20"/>
        </w:rPr>
      </w:pPr>
      <w:r>
        <w:rPr>
          <w:rFonts w:cs="Arial" w:ascii="Arial" w:hAnsi="Arial"/>
          <w:b/>
          <w:color w:val="0F1115"/>
          <w:sz w:val="20"/>
          <w:szCs w:val="20"/>
        </w:rPr>
      </w:r>
    </w:p>
    <w:p>
      <w:pPr>
        <w:pStyle w:val="NormalWeb"/>
        <w:spacing w:before="4" w:after="4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Web"/>
        <w:spacing w:before="4" w:after="4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Web"/>
        <w:spacing w:before="4" w:after="4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Web"/>
        <w:spacing w:before="4" w:after="4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Web"/>
        <w:spacing w:before="4" w:after="4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Web"/>
        <w:spacing w:before="4" w:after="4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Web"/>
        <w:spacing w:before="4" w:after="4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Web"/>
        <w:spacing w:before="4" w:after="4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Web"/>
        <w:spacing w:before="4" w:after="4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Web"/>
        <w:spacing w:before="4" w:after="4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Web"/>
        <w:spacing w:before="4" w:after="4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Web"/>
        <w:spacing w:before="4" w:after="4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Web"/>
        <w:spacing w:before="4" w:after="4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/>
      </w:pPr>
      <w:r>
        <w:rPr>
          <w:rFonts w:cs="Arial" w:ascii="Arial" w:hAnsi="Arial"/>
          <w:b/>
          <w:bCs/>
          <w:lang w:eastAsia="pt-BR"/>
        </w:rPr>
        <w:t>8.0  DOCUMENTOS / FORMUÁRIOS E REGISTROS:</w:t>
      </w:r>
    </w:p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>
          <w:rFonts w:ascii="Arial" w:hAnsi="Arial" w:cs="Arial"/>
          <w:b/>
          <w:bCs/>
          <w:lang w:eastAsia="pt-BR"/>
        </w:rPr>
      </w:pPr>
      <w:r>
        <w:rPr>
          <w:rFonts w:cs="Arial" w:ascii="Arial" w:hAnsi="Arial"/>
          <w:b/>
          <w:bCs/>
          <w:lang w:eastAsia="pt-BR"/>
        </w:rPr>
      </w:r>
    </w:p>
    <w:tbl>
      <w:tblPr>
        <w:tblW w:w="9776" w:type="dxa"/>
        <w:jc w:val="start"/>
        <w:tblInd w:w="75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640"/>
        <w:gridCol w:w="2750"/>
        <w:gridCol w:w="2268"/>
        <w:gridCol w:w="3118"/>
      </w:tblGrid>
      <w:tr>
        <w:trPr>
          <w:trHeight w:val="735" w:hRule="atLeast"/>
        </w:trPr>
        <w:tc>
          <w:tcPr>
            <w:tcW w:w="1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b/>
                <w:bCs/>
                <w:lang w:eastAsia="pt-BR"/>
              </w:rPr>
            </w:pPr>
            <w:r>
              <w:rPr>
                <w:rFonts w:cs="Arial" w:ascii="Arial" w:hAnsi="Arial"/>
                <w:b/>
                <w:bCs/>
                <w:lang w:eastAsia="pt-BR"/>
              </w:rPr>
              <w:t>CÓDIGO / REFERÊNCIA</w:t>
            </w:r>
          </w:p>
        </w:tc>
        <w:tc>
          <w:tcPr>
            <w:tcW w:w="27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b/>
                <w:bCs/>
                <w:lang w:eastAsia="pt-BR"/>
              </w:rPr>
            </w:pPr>
            <w:r>
              <w:rPr>
                <w:rFonts w:cs="Arial" w:ascii="Arial" w:hAnsi="Arial"/>
                <w:b/>
                <w:bCs/>
                <w:lang w:eastAsia="pt-BR"/>
              </w:rPr>
              <w:t>DESCRIÇÃO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b/>
                <w:bCs/>
                <w:lang w:eastAsia="pt-BR"/>
              </w:rPr>
            </w:pPr>
            <w:r>
              <w:rPr>
                <w:rFonts w:cs="Arial" w:ascii="Arial" w:hAnsi="Arial"/>
                <w:b/>
                <w:bCs/>
                <w:lang w:eastAsia="pt-BR"/>
              </w:rPr>
              <w:t>SISTEMA / ORIGEM</w:t>
            </w: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b/>
                <w:bCs/>
                <w:lang w:eastAsia="pt-BR"/>
              </w:rPr>
            </w:pPr>
            <w:r>
              <w:rPr>
                <w:rFonts w:cs="Arial" w:ascii="Arial" w:hAnsi="Arial"/>
                <w:b/>
                <w:bCs/>
                <w:lang w:eastAsia="pt-BR"/>
              </w:rPr>
              <w:t>ARMAZENAMENTO / EVIDÊNCIA</w:t>
            </w:r>
          </w:p>
        </w:tc>
      </w:tr>
      <w:tr>
        <w:trPr>
          <w:trHeight w:val="300" w:hRule="atLeast"/>
        </w:trPr>
        <w:tc>
          <w:tcPr>
            <w:tcW w:w="16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FR 027_L</w:t>
            </w:r>
          </w:p>
        </w:tc>
        <w:tc>
          <w:tcPr>
            <w:tcW w:w="2750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Check-list dos Empurradores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Click-up</w:t>
            </w:r>
          </w:p>
        </w:tc>
        <w:tc>
          <w:tcPr>
            <w:tcW w:w="311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Anexado à OM no Sankhya</w:t>
            </w:r>
          </w:p>
        </w:tc>
      </w:tr>
      <w:tr>
        <w:trPr>
          <w:trHeight w:val="570" w:hRule="atLeast"/>
        </w:trPr>
        <w:tc>
          <w:tcPr>
            <w:tcW w:w="16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OM</w:t>
            </w:r>
          </w:p>
        </w:tc>
        <w:tc>
          <w:tcPr>
            <w:tcW w:w="2750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Ordem de manutenção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Sistema Sankhya</w:t>
            </w:r>
          </w:p>
        </w:tc>
        <w:tc>
          <w:tcPr>
            <w:tcW w:w="311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Obrigatório para qualquer intervenção</w:t>
            </w:r>
          </w:p>
        </w:tc>
      </w:tr>
      <w:tr>
        <w:trPr>
          <w:trHeight w:val="570" w:hRule="atLeast"/>
        </w:trPr>
        <w:tc>
          <w:tcPr>
            <w:tcW w:w="16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FR 049_B</w:t>
            </w:r>
          </w:p>
        </w:tc>
        <w:tc>
          <w:tcPr>
            <w:tcW w:w="2750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Formulário de troca de óleo, filtros e fluidos (Rev.03: lote e validade do lubrificante)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Click-up</w:t>
            </w:r>
          </w:p>
        </w:tc>
        <w:tc>
          <w:tcPr>
            <w:tcW w:w="311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Anexado à OM no Sankhya</w:t>
            </w:r>
          </w:p>
        </w:tc>
      </w:tr>
      <w:tr>
        <w:trPr>
          <w:trHeight w:val="570" w:hRule="atLeast"/>
        </w:trPr>
        <w:tc>
          <w:tcPr>
            <w:tcW w:w="16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RNC</w:t>
            </w:r>
          </w:p>
        </w:tc>
        <w:tc>
          <w:tcPr>
            <w:tcW w:w="2750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Relatório de Não Conformidade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Click-up</w:t>
            </w:r>
          </w:p>
        </w:tc>
        <w:tc>
          <w:tcPr>
            <w:tcW w:w="311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Vinculado à OM nas falhas Crítica e Alta ou quando indicada falha no sistema de gestão.</w:t>
            </w:r>
          </w:p>
        </w:tc>
      </w:tr>
      <w:tr>
        <w:trPr>
          <w:trHeight w:val="570" w:hRule="atLeast"/>
        </w:trPr>
        <w:tc>
          <w:tcPr>
            <w:tcW w:w="16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ANEXO II</w:t>
            </w:r>
          </w:p>
        </w:tc>
        <w:tc>
          <w:tcPr>
            <w:tcW w:w="2750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Registro de manutenção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Click-up</w:t>
            </w:r>
          </w:p>
        </w:tc>
        <w:tc>
          <w:tcPr>
            <w:tcW w:w="311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Obrigatório em preventivas, preditivas e corretivas Crítica e Alta; anexado à OM.</w:t>
            </w:r>
          </w:p>
        </w:tc>
      </w:tr>
      <w:tr>
        <w:trPr>
          <w:trHeight w:val="570" w:hRule="atLeast"/>
        </w:trPr>
        <w:tc>
          <w:tcPr>
            <w:tcW w:w="16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b/>
                <w:bCs/>
                <w:color w:val="000000"/>
                <w:lang w:eastAsia="pt-BR"/>
              </w:rPr>
              <w:t>FR 016_E</w:t>
            </w:r>
          </w:p>
        </w:tc>
        <w:tc>
          <w:tcPr>
            <w:tcW w:w="2750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Formulário de controle de entregas de resíduos químicos ao SGI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SGI</w:t>
            </w:r>
          </w:p>
        </w:tc>
        <w:tc>
          <w:tcPr>
            <w:tcW w:w="311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Anexado à O.M quando aplicável.</w:t>
            </w:r>
          </w:p>
        </w:tc>
      </w:tr>
      <w:tr>
        <w:trPr>
          <w:trHeight w:val="570" w:hRule="atLeast"/>
        </w:trPr>
        <w:tc>
          <w:tcPr>
            <w:tcW w:w="16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cs="Arial" w:ascii="Arial" w:hAnsi="Arial"/>
                <w:b/>
                <w:bCs/>
                <w:color w:val="000000"/>
                <w:lang w:eastAsia="pt-BR"/>
              </w:rPr>
              <w:t>ANEXO III</w:t>
            </w:r>
          </w:p>
        </w:tc>
        <w:tc>
          <w:tcPr>
            <w:tcW w:w="2750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Lista de estoque mínimo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Supervisor de Manutenção</w:t>
            </w:r>
          </w:p>
        </w:tc>
        <w:tc>
          <w:tcPr>
            <w:tcW w:w="311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Revisão semestral.</w:t>
            </w:r>
          </w:p>
        </w:tc>
      </w:tr>
      <w:tr>
        <w:trPr>
          <w:trHeight w:val="300" w:hRule="atLeast"/>
        </w:trPr>
        <w:tc>
          <w:tcPr>
            <w:tcW w:w="16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—</w:t>
            </w:r>
          </w:p>
        </w:tc>
        <w:tc>
          <w:tcPr>
            <w:tcW w:w="2750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Pedido de requisição – Estoque Matriz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Sistema Sankhya</w:t>
            </w:r>
          </w:p>
        </w:tc>
        <w:tc>
          <w:tcPr>
            <w:tcW w:w="311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Anexado à O.M quando aplicável.</w:t>
            </w:r>
          </w:p>
        </w:tc>
      </w:tr>
      <w:tr>
        <w:trPr>
          <w:trHeight w:val="300" w:hRule="atLeast"/>
        </w:trPr>
        <w:tc>
          <w:tcPr>
            <w:tcW w:w="16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—</w:t>
            </w:r>
          </w:p>
        </w:tc>
        <w:tc>
          <w:tcPr>
            <w:tcW w:w="2750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/>
            </w:pPr>
            <w:r>
              <w:rPr>
                <w:rFonts w:cs="Arial" w:ascii="Arial" w:hAnsi="Arial"/>
                <w:lang w:eastAsia="pt-BR"/>
              </w:rPr>
              <w:t>Solicitação de materiais/serviço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Sistema Sankhya</w:t>
            </w:r>
          </w:p>
        </w:tc>
        <w:tc>
          <w:tcPr>
            <w:tcW w:w="311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Anexado à O.M quando aplicável.</w:t>
            </w:r>
          </w:p>
        </w:tc>
      </w:tr>
      <w:tr>
        <w:trPr>
          <w:trHeight w:val="300" w:hRule="atLeast"/>
        </w:trPr>
        <w:tc>
          <w:tcPr>
            <w:tcW w:w="16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napToGrid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</w:r>
          </w:p>
        </w:tc>
        <w:tc>
          <w:tcPr>
            <w:tcW w:w="2750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eastAsia="Arial" w:cs="Arial" w:ascii="Arial" w:hAnsi="Arial"/>
              </w:rPr>
              <w:t>APR padrão de manutenção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SESMT</w:t>
            </w:r>
          </w:p>
        </w:tc>
        <w:tc>
          <w:tcPr>
            <w:tcW w:w="311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eastAsia="Arial" w:cs="Arial" w:ascii="Arial" w:hAnsi="Arial"/>
              </w:rPr>
              <w:t>Revisão anual; cópia a bordo de cada empurrador.</w:t>
            </w:r>
          </w:p>
        </w:tc>
      </w:tr>
      <w:tr>
        <w:trPr>
          <w:trHeight w:val="300" w:hRule="atLeast"/>
        </w:trPr>
        <w:tc>
          <w:tcPr>
            <w:tcW w:w="16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napToGrid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</w:r>
          </w:p>
        </w:tc>
        <w:tc>
          <w:tcPr>
            <w:tcW w:w="2750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Permissão de Trabalho (PT)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SESMT</w:t>
            </w:r>
          </w:p>
        </w:tc>
        <w:tc>
          <w:tcPr>
            <w:tcW w:w="311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eastAsia="Arial" w:cs="Arial" w:ascii="Arial" w:hAnsi="Arial"/>
              </w:rPr>
              <w:t>Anexada à OM nas atividades de risco (item 5.11.2).</w:t>
            </w:r>
          </w:p>
        </w:tc>
      </w:tr>
      <w:tr>
        <w:trPr>
          <w:trHeight w:val="300" w:hRule="atLeast"/>
        </w:trPr>
        <w:tc>
          <w:tcPr>
            <w:tcW w:w="16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napToGrid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</w:r>
          </w:p>
        </w:tc>
        <w:tc>
          <w:tcPr>
            <w:tcW w:w="2750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Diário de Máquinas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Físico, a bordo</w:t>
            </w:r>
          </w:p>
        </w:tc>
        <w:tc>
          <w:tcPr>
            <w:tcW w:w="311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Mantido a bordo; páginas do período anexadas à OM quando houver preventiva ou falha</w:t>
            </w:r>
          </w:p>
        </w:tc>
      </w:tr>
      <w:tr>
        <w:trPr>
          <w:trHeight w:val="300" w:hRule="atLeast"/>
        </w:trPr>
        <w:tc>
          <w:tcPr>
            <w:tcW w:w="16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—</w:t>
            </w:r>
          </w:p>
        </w:tc>
        <w:tc>
          <w:tcPr>
            <w:tcW w:w="2750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Formulário de registro fotográfico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Click-up</w:t>
            </w:r>
          </w:p>
        </w:tc>
        <w:tc>
          <w:tcPr>
            <w:tcW w:w="3118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spacing w:lineRule="atLeast" w:line="0" w:before="4" w:after="4"/>
              <w:rPr>
                <w:rFonts w:ascii="Arial" w:hAnsi="Arial" w:cs="Arial"/>
                <w:lang w:eastAsia="pt-BR"/>
              </w:rPr>
            </w:pPr>
            <w:r>
              <w:rPr>
                <w:rFonts w:cs="Arial" w:ascii="Arial" w:hAnsi="Arial"/>
                <w:lang w:eastAsia="pt-BR"/>
              </w:rPr>
              <w:t>Antes/depois Anexado à O.M.</w:t>
            </w:r>
          </w:p>
        </w:tc>
      </w:tr>
    </w:tbl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shd w:fill="FFFFFF" w:val="clear"/>
        <w:spacing w:lineRule="atLeast" w:line="0"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ds-markdown-paragraph"/>
        <w:shd w:fill="FFFFFF" w:val="clear"/>
        <w:spacing w:lineRule="atLeast" w:line="0" w:before="4" w:after="4"/>
        <w:jc w:val="both"/>
        <w:rPr/>
      </w:pPr>
      <w:r>
        <w:rPr>
          <w:rFonts w:cs="Arial" w:ascii="Arial" w:hAnsi="Arial"/>
          <w:b/>
          <w:bCs/>
          <w:sz w:val="20"/>
          <w:szCs w:val="20"/>
        </w:rPr>
        <w:t xml:space="preserve">NOTA: </w:t>
      </w:r>
      <w:r>
        <w:rPr>
          <w:rFonts w:cs="Arial" w:ascii="Arial" w:hAnsi="Arial"/>
          <w:sz w:val="20"/>
          <w:szCs w:val="20"/>
        </w:rPr>
        <w:t xml:space="preserve"> anexar o </w:t>
      </w:r>
      <w:r>
        <w:rPr>
          <w:rFonts w:cs="Arial" w:ascii="Arial" w:hAnsi="Arial"/>
          <w:b/>
          <w:bCs/>
          <w:sz w:val="20"/>
          <w:szCs w:val="20"/>
        </w:rPr>
        <w:t>registro fotográfico</w:t>
      </w:r>
      <w:r>
        <w:rPr>
          <w:rFonts w:cs="Arial" w:ascii="Arial" w:hAnsi="Arial"/>
          <w:sz w:val="20"/>
          <w:szCs w:val="20"/>
        </w:rPr>
        <w:t xml:space="preserve"> (etapas "antes" e "depois") à Ordem de Manutenção (O.M.) do sistema Sankhya para fins de comprovação técnica e auditoria.</w:t>
      </w:r>
    </w:p>
    <w:p>
      <w:pPr>
        <w:pStyle w:val="ds-markdown-paragraph"/>
        <w:shd w:fill="FFFFFF" w:val="clear"/>
        <w:spacing w:before="10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Web"/>
        <w:suppressAutoHyphens w:val="false"/>
        <w:spacing w:before="4" w:after="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Web"/>
        <w:spacing w:before="4" w:after="4"/>
        <w:rPr/>
      </w:pPr>
      <w:r>
        <w:rPr>
          <w:rFonts w:cs="Arial" w:ascii="Arial" w:hAnsi="Arial"/>
          <w:b/>
          <w:bCs/>
        </w:rPr>
        <w:t>9.0 - INDICADORES E METAS (KPIs)</w:t>
      </w:r>
    </w:p>
    <w:p>
      <w:pPr>
        <w:pStyle w:val="NormalWeb"/>
        <w:suppressAutoHyphens w:val="false"/>
        <w:spacing w:before="4" w:after="4"/>
        <w:ind w:start="720" w:end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tbl>
      <w:tblPr>
        <w:tblW w:w="6580" w:type="dxa"/>
        <w:jc w:val="start"/>
        <w:tblInd w:w="75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280"/>
        <w:gridCol w:w="960"/>
        <w:gridCol w:w="1340"/>
      </w:tblGrid>
      <w:tr>
        <w:trPr>
          <w:trHeight w:val="330" w:hRule="atLeast"/>
        </w:trPr>
        <w:tc>
          <w:tcPr>
            <w:tcW w:w="4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Indicador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Meta</w:t>
            </w:r>
          </w:p>
        </w:tc>
        <w:tc>
          <w:tcPr>
            <w:tcW w:w="13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Frequência</w:t>
            </w:r>
          </w:p>
        </w:tc>
      </w:tr>
      <w:tr>
        <w:trPr>
          <w:trHeight w:val="330" w:hRule="atLeast"/>
        </w:trPr>
        <w:tc>
          <w:tcPr>
            <w:tcW w:w="428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Disponibilidade da frota</w:t>
            </w:r>
          </w:p>
        </w:tc>
        <w:tc>
          <w:tcPr>
            <w:tcW w:w="960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≥</w:t>
            </w:r>
            <w:r>
              <w:rPr>
                <w:rFonts w:eastAsia="Arial" w:cs="Arial" w:ascii="Arial" w:hAnsi="Arial"/>
                <w:color w:val="000000"/>
                <w:lang w:eastAsia="pt-BR"/>
              </w:rPr>
              <w:t xml:space="preserve"> </w:t>
            </w:r>
            <w:r>
              <w:rPr>
                <w:rFonts w:cs="Arial" w:ascii="Arial" w:hAnsi="Arial"/>
                <w:color w:val="000000"/>
                <w:lang w:eastAsia="pt-BR"/>
              </w:rPr>
              <w:t>95%</w:t>
            </w:r>
          </w:p>
        </w:tc>
        <w:tc>
          <w:tcPr>
            <w:tcW w:w="1340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Mensal</w:t>
            </w:r>
          </w:p>
        </w:tc>
      </w:tr>
      <w:tr>
        <w:trPr>
          <w:trHeight w:val="330" w:hRule="atLeast"/>
        </w:trPr>
        <w:tc>
          <w:tcPr>
            <w:tcW w:w="4280" w:type="dxa"/>
            <w:tcBorders>
              <w:top w:val="single" w:sz="4" w:space="0" w:color="80808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MTBF (horas)</w:t>
            </w:r>
          </w:p>
        </w:tc>
        <w:tc>
          <w:tcPr>
            <w:tcW w:w="960" w:type="dxa"/>
            <w:tcBorders>
              <w:top w:val="single" w:sz="4" w:space="0" w:color="80808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≥</w:t>
            </w:r>
            <w:r>
              <w:rPr>
                <w:rFonts w:eastAsia="Arial" w:cs="Arial" w:ascii="Arial" w:hAnsi="Arial"/>
                <w:color w:val="000000"/>
                <w:lang w:eastAsia="pt-BR"/>
              </w:rPr>
              <w:t xml:space="preserve"> </w:t>
            </w:r>
            <w:r>
              <w:rPr>
                <w:rFonts w:cs="Arial" w:ascii="Arial" w:hAnsi="Arial"/>
                <w:color w:val="000000"/>
                <w:lang w:eastAsia="pt-BR"/>
              </w:rPr>
              <w:t>500 h</w:t>
            </w:r>
          </w:p>
        </w:tc>
        <w:tc>
          <w:tcPr>
            <w:tcW w:w="1340" w:type="dxa"/>
            <w:tcBorders>
              <w:top w:val="single" w:sz="4" w:space="0" w:color="80808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Mensal</w:t>
            </w:r>
          </w:p>
        </w:tc>
      </w:tr>
      <w:tr>
        <w:trPr>
          <w:trHeight w:val="330" w:hRule="atLeast"/>
        </w:trPr>
        <w:tc>
          <w:tcPr>
            <w:tcW w:w="4280" w:type="dxa"/>
            <w:tcBorders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MTTR (horas)</w:t>
            </w:r>
          </w:p>
        </w:tc>
        <w:tc>
          <w:tcPr>
            <w:tcW w:w="960" w:type="dxa"/>
            <w:tcBorders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≤</w:t>
            </w:r>
            <w:r>
              <w:rPr>
                <w:rFonts w:eastAsia="Arial" w:cs="Arial" w:ascii="Arial" w:hAnsi="Arial"/>
                <w:color w:val="000000"/>
                <w:lang w:eastAsia="pt-BR"/>
              </w:rPr>
              <w:t xml:space="preserve"> </w:t>
            </w:r>
            <w:r>
              <w:rPr>
                <w:rFonts w:cs="Arial" w:ascii="Arial" w:hAnsi="Arial"/>
                <w:color w:val="000000"/>
                <w:lang w:eastAsia="pt-BR"/>
              </w:rPr>
              <w:t>8 h</w:t>
            </w:r>
          </w:p>
        </w:tc>
        <w:tc>
          <w:tcPr>
            <w:tcW w:w="1340" w:type="dxa"/>
            <w:tcBorders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Mensal</w:t>
            </w:r>
          </w:p>
        </w:tc>
      </w:tr>
      <w:tr>
        <w:trPr>
          <w:trHeight w:val="330" w:hRule="atLeast"/>
        </w:trPr>
        <w:tc>
          <w:tcPr>
            <w:tcW w:w="4280" w:type="dxa"/>
            <w:tcBorders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Backlog (OM com início em atraso)</w:t>
            </w:r>
          </w:p>
        </w:tc>
        <w:tc>
          <w:tcPr>
            <w:tcW w:w="960" w:type="dxa"/>
            <w:tcBorders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≤</w:t>
            </w:r>
            <w:r>
              <w:rPr>
                <w:rFonts w:eastAsia="Arial" w:cs="Arial" w:ascii="Arial" w:hAnsi="Arial"/>
                <w:color w:val="000000"/>
                <w:lang w:eastAsia="pt-BR"/>
              </w:rPr>
              <w:t xml:space="preserve"> </w:t>
            </w:r>
            <w:r>
              <w:rPr>
                <w:rFonts w:cs="Arial" w:ascii="Arial" w:hAnsi="Arial"/>
                <w:color w:val="000000"/>
                <w:lang w:eastAsia="pt-BR"/>
              </w:rPr>
              <w:t>5%</w:t>
            </w:r>
          </w:p>
        </w:tc>
        <w:tc>
          <w:tcPr>
            <w:tcW w:w="1340" w:type="dxa"/>
            <w:tcBorders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Semanal</w:t>
            </w:r>
          </w:p>
        </w:tc>
      </w:tr>
      <w:tr>
        <w:trPr>
          <w:trHeight w:val="330" w:hRule="atLeast"/>
        </w:trPr>
        <w:tc>
          <w:tcPr>
            <w:tcW w:w="4280" w:type="dxa"/>
            <w:tcBorders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 xml:space="preserve">% </w:t>
            </w:r>
            <w:r>
              <w:rPr>
                <w:rFonts w:eastAsia="Arial" w:cs="Arial" w:ascii="Arial" w:hAnsi="Arial"/>
              </w:rPr>
              <w:t>Cumprimento do plano preditivo</w:t>
            </w:r>
          </w:p>
        </w:tc>
        <w:tc>
          <w:tcPr>
            <w:tcW w:w="960" w:type="dxa"/>
            <w:tcBorders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/>
            </w:pPr>
            <w:r>
              <w:rPr>
                <w:rFonts w:cs="Arial" w:ascii="Arial" w:hAnsi="Arial"/>
                <w:color w:val="000000"/>
                <w:lang w:eastAsia="pt-BR"/>
              </w:rPr>
              <w:t>≥</w:t>
            </w:r>
            <w:r>
              <w:rPr>
                <w:rFonts w:eastAsia="Arial" w:cs="Arial" w:ascii="Arial" w:hAnsi="Arial"/>
                <w:color w:val="000000"/>
                <w:lang w:eastAsia="pt-BR"/>
              </w:rPr>
              <w:t xml:space="preserve"> </w:t>
            </w:r>
            <w:r>
              <w:rPr>
                <w:rFonts w:cs="Arial" w:ascii="Arial" w:hAnsi="Arial"/>
                <w:color w:val="000000"/>
                <w:lang w:eastAsia="pt-BR"/>
              </w:rPr>
              <w:t>80%</w:t>
            </w:r>
          </w:p>
        </w:tc>
        <w:tc>
          <w:tcPr>
            <w:tcW w:w="1340" w:type="dxa"/>
            <w:tcBorders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Trimestral</w:t>
            </w:r>
          </w:p>
        </w:tc>
      </w:tr>
      <w:tr>
        <w:trPr>
          <w:trHeight w:val="330" w:hRule="atLeast"/>
        </w:trPr>
        <w:tc>
          <w:tcPr>
            <w:tcW w:w="42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Conformidade de registros fotográficos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100%</w:t>
            </w:r>
          </w:p>
        </w:tc>
        <w:tc>
          <w:tcPr>
            <w:tcW w:w="134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Semanal</w:t>
            </w:r>
          </w:p>
        </w:tc>
      </w:tr>
    </w:tbl>
    <w:p>
      <w:pPr>
        <w:pStyle w:val="Normal"/>
        <w:spacing w:before="4" w:after="4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200" w:after="60"/>
        <w:jc w:val="both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t>Onde:</w:t>
      </w:r>
    </w:p>
    <w:p>
      <w:pPr>
        <w:pStyle w:val="Normal"/>
        <w:spacing w:before="100" w:after="4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Disponibilidade da frota (%)</w:t>
      </w:r>
      <w:r>
        <w:rPr>
          <w:rFonts w:eastAsia="Arial" w:cs="Arial" w:ascii="Arial" w:hAnsi="Arial"/>
          <w:sz w:val="22"/>
          <w:szCs w:val="22"/>
        </w:rPr>
        <w:t xml:space="preserve"> = (horas calendário − horas indisponíveis por manutenção) ÷ horas calendário × 100</w:t>
      </w:r>
    </w:p>
    <w:p>
      <w:pPr>
        <w:pStyle w:val="Normal"/>
        <w:spacing w:lineRule="auto" w:line="276" w:before="0" w:after="60"/>
        <w:ind w:start="284" w:end="0"/>
        <w:jc w:val="both"/>
        <w:rPr/>
      </w:pPr>
      <w:r>
        <w:rPr>
          <w:rFonts w:eastAsia="Arial" w:cs="Arial" w:ascii="Arial" w:hAnsi="Arial"/>
          <w:sz w:val="22"/>
          <w:szCs w:val="22"/>
        </w:rPr>
        <w:t>Horas calendário = nº de embarcações × horas do mês. Horas indisponíveis = tempo em que a embarcação ficou impedida de operar por manutenção corretiva ou preventiva, da interdição até a liberação.</w:t>
      </w:r>
    </w:p>
    <w:p>
      <w:pPr>
        <w:pStyle w:val="Normal"/>
        <w:spacing w:before="100" w:after="4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MTBF (h)</w:t>
      </w:r>
      <w:r>
        <w:rPr>
          <w:rFonts w:eastAsia="Arial" w:cs="Arial" w:ascii="Arial" w:hAnsi="Arial"/>
          <w:sz w:val="22"/>
          <w:szCs w:val="22"/>
        </w:rPr>
        <w:t xml:space="preserve"> = horas de operação da frota nos últimos 12 meses ÷ nº de falhas nos últimos 12 meses</w:t>
      </w:r>
    </w:p>
    <w:p>
      <w:pPr>
        <w:pStyle w:val="Normal"/>
        <w:spacing w:before="100" w:after="4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MTTR (h)</w:t>
      </w:r>
      <w:r>
        <w:rPr>
          <w:rFonts w:eastAsia="Arial" w:cs="Arial" w:ascii="Arial" w:hAnsi="Arial"/>
          <w:sz w:val="22"/>
          <w:szCs w:val="22"/>
        </w:rPr>
        <w:t xml:space="preserve"> = soma dos tempos de reparo das falhas do mês ÷ nº de falhas do mês</w:t>
      </w:r>
    </w:p>
    <w:p>
      <w:pPr>
        <w:pStyle w:val="Normal"/>
        <w:spacing w:lineRule="auto" w:line="276" w:before="0" w:after="60"/>
        <w:ind w:start="284" w:end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Tempo de reparo = da abertura da OM até a liberação do equipamento.</w:t>
      </w:r>
    </w:p>
    <w:p>
      <w:pPr>
        <w:pStyle w:val="Normal"/>
        <w:spacing w:before="100" w:after="4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Backlog (%)</w:t>
      </w:r>
      <w:r>
        <w:rPr>
          <w:rFonts w:eastAsia="Arial" w:cs="Arial" w:ascii="Arial" w:hAnsi="Arial"/>
          <w:sz w:val="22"/>
          <w:szCs w:val="22"/>
        </w:rPr>
        <w:t xml:space="preserve"> = nº de OM em aberto com prazo de início vencido sem intervenção iniciada ÷ nº total de OM em aberto na data da apuração × 100</w:t>
      </w:r>
    </w:p>
    <w:p>
      <w:pPr>
        <w:pStyle w:val="Normal"/>
        <w:spacing w:before="100" w:after="4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Cumprimento do plano preditivo (%)</w:t>
      </w:r>
      <w:r>
        <w:rPr>
          <w:rFonts w:eastAsia="Arial" w:cs="Arial" w:ascii="Arial" w:hAnsi="Arial"/>
          <w:sz w:val="22"/>
          <w:szCs w:val="22"/>
        </w:rPr>
        <w:t xml:space="preserve"> = testes de compressão, análises de óleo (rodízio) e avaliações de tendência realizados no trimestre ÷ programados no trimestre × 100</w:t>
      </w:r>
    </w:p>
    <w:p>
      <w:pPr>
        <w:pStyle w:val="Normal"/>
        <w:spacing w:before="100" w:after="4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Conformidade de registros fotográficos (%)</w:t>
      </w:r>
      <w:r>
        <w:rPr>
          <w:rFonts w:eastAsia="Arial" w:cs="Arial" w:ascii="Arial" w:hAnsi="Arial"/>
          <w:sz w:val="22"/>
          <w:szCs w:val="22"/>
        </w:rPr>
        <w:t xml:space="preserve"> = nº de OM encerradas na semana com fotos "antes" e "depois" anexadas ÷ nº total de OM encerradas na semana × 100</w:t>
      </w:r>
    </w:p>
    <w:p>
      <w:pPr>
        <w:pStyle w:val="Normal"/>
        <w:spacing w:before="200" w:after="60"/>
        <w:jc w:val="both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t>Regras de apuração:</w:t>
      </w:r>
    </w:p>
    <w:p>
      <w:pPr>
        <w:pStyle w:val="Normal"/>
        <w:spacing w:lineRule="auto" w:line="276" w:before="0" w:after="60"/>
        <w:jc w:val="both"/>
        <w:rPr/>
      </w:pPr>
      <w:r>
        <w:rPr>
          <w:rFonts w:eastAsia="Arial" w:cs="Arial" w:ascii="Arial" w:hAnsi="Arial"/>
          <w:sz w:val="22"/>
          <w:szCs w:val="22"/>
        </w:rPr>
        <w:t xml:space="preserve">• </w:t>
      </w:r>
      <w:r>
        <w:rPr>
          <w:rFonts w:eastAsia="Arial" w:cs="Arial" w:ascii="Arial" w:hAnsi="Arial"/>
          <w:b/>
          <w:bCs/>
          <w:sz w:val="22"/>
          <w:szCs w:val="22"/>
        </w:rPr>
        <w:t>Falha:</w:t>
      </w:r>
      <w:r>
        <w:rPr>
          <w:rFonts w:eastAsia="Arial" w:cs="Arial" w:ascii="Arial" w:hAnsi="Arial"/>
          <w:sz w:val="22"/>
          <w:szCs w:val="22"/>
        </w:rPr>
        <w:t xml:space="preserve"> OM corretiva classificada como Crítica ou Alta (item 5.5.1).</w:t>
      </w:r>
    </w:p>
    <w:p>
      <w:pPr>
        <w:pStyle w:val="Normal"/>
        <w:spacing w:lineRule="auto" w:line="276" w:before="0" w:after="60"/>
        <w:jc w:val="both"/>
        <w:rPr/>
      </w:pPr>
      <w:r>
        <w:rPr>
          <w:rFonts w:eastAsia="Arial" w:cs="Arial" w:ascii="Arial" w:hAnsi="Arial"/>
          <w:sz w:val="22"/>
          <w:szCs w:val="22"/>
        </w:rPr>
        <w:t xml:space="preserve">• </w:t>
      </w:r>
      <w:r>
        <w:rPr>
          <w:rFonts w:eastAsia="Arial" w:cs="Arial" w:ascii="Arial" w:hAnsi="Arial"/>
          <w:b/>
          <w:bCs/>
          <w:sz w:val="22"/>
          <w:szCs w:val="22"/>
        </w:rPr>
        <w:t>Horas de operação:</w:t>
      </w:r>
      <w:r>
        <w:rPr>
          <w:rFonts w:eastAsia="Arial" w:cs="Arial" w:ascii="Arial" w:hAnsi="Arial"/>
          <w:sz w:val="22"/>
          <w:szCs w:val="22"/>
        </w:rPr>
        <w:t xml:space="preserve"> horímetro do MCP BB (ou único) registrado no FR 027_L.</w:t>
      </w:r>
    </w:p>
    <w:p>
      <w:pPr>
        <w:pStyle w:val="Normal"/>
        <w:spacing w:lineRule="auto" w:line="276" w:before="0" w:after="60"/>
        <w:jc w:val="both"/>
        <w:rPr/>
      </w:pPr>
      <w:r>
        <w:rPr>
          <w:rFonts w:eastAsia="Arial" w:cs="Arial" w:ascii="Arial" w:hAnsi="Arial"/>
          <w:sz w:val="22"/>
          <w:szCs w:val="22"/>
        </w:rPr>
        <w:t xml:space="preserve">• </w:t>
      </w:r>
      <w:r>
        <w:rPr>
          <w:rFonts w:eastAsia="Arial" w:cs="Arial" w:ascii="Arial" w:hAnsi="Arial"/>
          <w:b/>
          <w:bCs/>
          <w:sz w:val="22"/>
          <w:szCs w:val="22"/>
        </w:rPr>
        <w:t>Fontes:</w:t>
      </w:r>
      <w:r>
        <w:rPr>
          <w:rFonts w:eastAsia="Arial" w:cs="Arial" w:ascii="Arial" w:hAnsi="Arial"/>
          <w:sz w:val="22"/>
          <w:szCs w:val="22"/>
        </w:rPr>
        <w:t xml:space="preserve"> OMs do Sankhya, FR 027_L e Anexo II.</w:t>
      </w:r>
    </w:p>
    <w:p>
      <w:pPr>
        <w:pStyle w:val="Normal"/>
        <w:spacing w:lineRule="auto" w:line="276" w:before="0" w:after="60"/>
        <w:jc w:val="both"/>
        <w:rPr/>
      </w:pPr>
      <w:r>
        <w:rPr>
          <w:rFonts w:eastAsia="Arial" w:cs="Arial" w:ascii="Arial" w:hAnsi="Arial"/>
          <w:sz w:val="22"/>
          <w:szCs w:val="22"/>
        </w:rPr>
        <w:t xml:space="preserve">• </w:t>
      </w:r>
      <w:r>
        <w:rPr>
          <w:rFonts w:eastAsia="Arial" w:cs="Arial" w:ascii="Arial" w:hAnsi="Arial"/>
          <w:b/>
          <w:bCs/>
          <w:sz w:val="22"/>
          <w:szCs w:val="22"/>
        </w:rPr>
        <w:t>Indicadores mensais:</w:t>
      </w:r>
      <w:r>
        <w:rPr>
          <w:rFonts w:eastAsia="Arial" w:cs="Arial" w:ascii="Arial" w:hAnsi="Arial"/>
          <w:sz w:val="22"/>
          <w:szCs w:val="22"/>
        </w:rPr>
        <w:t xml:space="preserve"> apurados até o 5º dia útil do mês seguinte, pelo Supervisor de Manutenção ou pelo Analista de Manutenção sob sua supervisão. O MTBF é calculado em janela móvel de 12 meses.</w:t>
      </w:r>
    </w:p>
    <w:p>
      <w:pPr>
        <w:pStyle w:val="Normal"/>
        <w:spacing w:lineRule="auto" w:line="276" w:before="0" w:after="60"/>
        <w:jc w:val="both"/>
        <w:rPr/>
      </w:pPr>
      <w:r>
        <w:rPr>
          <w:rFonts w:eastAsia="Arial" w:cs="Arial" w:ascii="Arial" w:hAnsi="Arial"/>
          <w:sz w:val="22"/>
          <w:szCs w:val="22"/>
        </w:rPr>
        <w:t xml:space="preserve">• </w:t>
      </w:r>
      <w:r>
        <w:rPr>
          <w:rFonts w:eastAsia="Arial" w:cs="Arial" w:ascii="Arial" w:hAnsi="Arial"/>
          <w:b/>
          <w:bCs/>
          <w:sz w:val="22"/>
          <w:szCs w:val="22"/>
        </w:rPr>
        <w:t>Indicador trimestral:</w:t>
      </w:r>
      <w:r>
        <w:rPr>
          <w:rFonts w:eastAsia="Arial" w:cs="Arial" w:ascii="Arial" w:hAnsi="Arial"/>
          <w:sz w:val="22"/>
          <w:szCs w:val="22"/>
        </w:rPr>
        <w:t xml:space="preserve"> o Cumprimento do plano preditivo é apurado até o 5º dia útil após o fim de cada trimestre.</w:t>
      </w:r>
    </w:p>
    <w:p>
      <w:pPr>
        <w:pStyle w:val="Normal"/>
        <w:spacing w:lineRule="auto" w:line="276" w:before="0" w:after="60"/>
        <w:jc w:val="both"/>
        <w:rPr/>
      </w:pPr>
      <w:r>
        <w:rPr>
          <w:rFonts w:eastAsia="Arial" w:cs="Arial" w:ascii="Arial" w:hAnsi="Arial"/>
          <w:sz w:val="22"/>
          <w:szCs w:val="22"/>
        </w:rPr>
        <w:t xml:space="preserve">• </w:t>
      </w:r>
      <w:r>
        <w:rPr>
          <w:rFonts w:eastAsia="Arial" w:cs="Arial" w:ascii="Arial" w:hAnsi="Arial"/>
          <w:b/>
          <w:bCs/>
          <w:sz w:val="22"/>
          <w:szCs w:val="22"/>
        </w:rPr>
        <w:t>Indicadores semanais:</w:t>
      </w:r>
      <w:r>
        <w:rPr>
          <w:rFonts w:eastAsia="Arial" w:cs="Arial" w:ascii="Arial" w:hAnsi="Arial"/>
          <w:sz w:val="22"/>
          <w:szCs w:val="22"/>
        </w:rPr>
        <w:t xml:space="preserve"> apurados toda segunda-feira, com extração do Sankhya no início do expediente. Numerador e denominador são extraídos na mesma consulta.</w:t>
      </w:r>
    </w:p>
    <w:p>
      <w:pPr>
        <w:pStyle w:val="Normal"/>
        <w:spacing w:lineRule="auto" w:line="276" w:before="0" w:after="60"/>
        <w:jc w:val="both"/>
        <w:rPr/>
      </w:pPr>
      <w:r>
        <w:rPr>
          <w:rFonts w:eastAsia="Arial" w:cs="Arial" w:ascii="Arial" w:hAnsi="Arial"/>
          <w:sz w:val="22"/>
          <w:szCs w:val="22"/>
        </w:rPr>
        <w:t xml:space="preserve">• </w:t>
      </w:r>
      <w:r>
        <w:rPr>
          <w:rFonts w:eastAsia="Arial" w:cs="Arial" w:ascii="Arial" w:hAnsi="Arial"/>
          <w:b/>
          <w:bCs/>
          <w:sz w:val="22"/>
          <w:szCs w:val="22"/>
        </w:rPr>
        <w:t>Backlog:</w:t>
      </w:r>
      <w:r>
        <w:rPr>
          <w:rFonts w:eastAsia="Arial" w:cs="Arial" w:ascii="Arial" w:hAnsi="Arial"/>
          <w:sz w:val="22"/>
          <w:szCs w:val="22"/>
        </w:rPr>
        <w:t xml:space="preserve"> considera todas as OM em aberto (corretivas, preventivas e preditivas).</w:t>
      </w:r>
    </w:p>
    <w:p>
      <w:pPr>
        <w:pStyle w:val="Normal"/>
        <w:spacing w:before="160" w:after="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Nota:</w:t>
      </w:r>
      <w:r>
        <w:rPr>
          <w:rFonts w:eastAsia="Arial" w:cs="Arial" w:ascii="Arial" w:hAnsi="Arial"/>
          <w:sz w:val="22"/>
          <w:szCs w:val="22"/>
        </w:rPr>
        <w:t xml:space="preserve"> as metas de Disponibilidade, MTBF, MTTR e Cumprimento do plano preditivo serão revisadas após 6 meses de apuração, com base no histórico medido.</w:t>
      </w:r>
    </w:p>
    <w:p>
      <w:pPr>
        <w:pStyle w:val="Normal"/>
        <w:spacing w:before="4" w:after="4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4" w:after="4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10. TREINAMENTO PARA MANUTENÇÃO E OPERAÇÃO</w:t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4" w:after="4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A competência técnica da tripulação e da equipe de manutenção é condição essencial para a segurança, a confiabilidade e a conformidade ambiental das operações com </w:t>
        <w:tab/>
        <w:t>Empurradores.</w:t>
      </w:r>
    </w:p>
    <w:p>
      <w:pPr>
        <w:pStyle w:val="Normal"/>
        <w:spacing w:before="4" w:after="4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10.1 Público-Alvo Obrigatório</w:t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tbl>
      <w:tblPr>
        <w:tblW w:w="9776" w:type="dxa"/>
        <w:jc w:val="start"/>
        <w:tblInd w:w="75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106"/>
        <w:gridCol w:w="5670"/>
      </w:tblGrid>
      <w:tr>
        <w:trPr>
          <w:trHeight w:val="300" w:hRule="atLeast"/>
        </w:trPr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Público</w:t>
            </w:r>
          </w:p>
        </w:tc>
        <w:tc>
          <w:tcPr>
            <w:tcW w:w="567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/>
            </w:pPr>
            <w:r>
              <w:rPr>
                <w:rFonts w:cs="Arial" w:ascii="Arial" w:hAnsi="Arial"/>
                <w:color w:val="000000"/>
                <w:lang w:eastAsia="pt-BR"/>
              </w:rPr>
              <w:t>Treinamento obrigatório</w:t>
            </w:r>
          </w:p>
        </w:tc>
      </w:tr>
      <w:tr>
        <w:trPr>
          <w:trHeight w:val="510" w:hRule="atLeast"/>
        </w:trPr>
        <w:tc>
          <w:tcPr>
            <w:tcW w:w="4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Operadores (Líder de Operação, Operador de Medição, MFM, CTF)</w:t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/>
            </w:pPr>
            <w:r>
              <w:rPr>
                <w:rFonts w:cs="Arial" w:ascii="Arial" w:hAnsi="Arial"/>
                <w:color w:val="000000"/>
                <w:lang w:eastAsia="pt-BR"/>
              </w:rPr>
              <w:t>Operação de equipamentos críticos, resposta a emergências</w:t>
            </w:r>
          </w:p>
        </w:tc>
      </w:tr>
      <w:tr>
        <w:trPr>
          <w:trHeight w:val="510" w:hRule="atLeast"/>
        </w:trPr>
        <w:tc>
          <w:tcPr>
            <w:tcW w:w="4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Equipe de manutenção (Supervisor, Analista, terceiros)</w:t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sistema Sankhya</w:t>
            </w:r>
          </w:p>
        </w:tc>
      </w:tr>
      <w:tr>
        <w:trPr>
          <w:trHeight w:val="510" w:hRule="atLeast"/>
        </w:trPr>
        <w:tc>
          <w:tcPr>
            <w:tcW w:w="4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Capitão Fluvial / Comandante</w:t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Responsabilidades legais</w:t>
            </w:r>
          </w:p>
        </w:tc>
      </w:tr>
    </w:tbl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10.2 Conteúdo Mínimo</w:t>
      </w:r>
    </w:p>
    <w:p>
      <w:pPr>
        <w:pStyle w:val="Normal"/>
        <w:numPr>
          <w:ilvl w:val="0"/>
          <w:numId w:val="10"/>
        </w:numPr>
        <w:spacing w:before="4" w:after="4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Funcionamento e limites operacionais dos </w:t>
      </w:r>
      <w:r>
        <w:rPr>
          <w:rFonts w:cs="Arial" w:ascii="Arial" w:hAnsi="Arial"/>
          <w:b/>
          <w:bCs/>
        </w:rPr>
        <w:t>equipamentos críticos</w:t>
      </w:r>
      <w:r>
        <w:rPr>
          <w:rFonts w:cs="Arial" w:ascii="Arial" w:hAnsi="Arial"/>
        </w:rPr>
        <w:t xml:space="preserve"> (item 6)</w:t>
      </w:r>
    </w:p>
    <w:p>
      <w:pPr>
        <w:pStyle w:val="Normal"/>
        <w:numPr>
          <w:ilvl w:val="0"/>
          <w:numId w:val="10"/>
        </w:numPr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</w:rPr>
        <w:t>Inspeções antes da saída e durante a viagem</w:t>
      </w:r>
      <w:r>
        <w:rPr>
          <w:rFonts w:cs="Arial" w:ascii="Arial" w:hAnsi="Arial"/>
          <w:b/>
          <w:bCs/>
        </w:rPr>
        <w:t xml:space="preserve"> (itens 5.3 e 5.4)</w:t>
      </w:r>
    </w:p>
    <w:p>
      <w:pPr>
        <w:pStyle w:val="Normal"/>
        <w:numPr>
          <w:ilvl w:val="0"/>
          <w:numId w:val="10"/>
        </w:numPr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</w:rPr>
        <w:t>Registro no</w:t>
      </w:r>
      <w:r>
        <w:rPr>
          <w:rFonts w:cs="Arial" w:ascii="Arial" w:hAnsi="Arial"/>
          <w:b/>
          <w:bCs/>
        </w:rPr>
        <w:t xml:space="preserve"> Diário de Máquinas </w:t>
      </w:r>
      <w:r>
        <w:rPr>
          <w:rFonts w:cs="Arial" w:ascii="Arial" w:hAnsi="Arial"/>
        </w:rPr>
        <w:t>(horímetros e parâmetros dos motores) e coleta de amostra de óleo (item 4.5)</w:t>
      </w:r>
    </w:p>
    <w:p>
      <w:pPr>
        <w:pStyle w:val="Normal"/>
        <w:numPr>
          <w:ilvl w:val="0"/>
          <w:numId w:val="10"/>
        </w:numPr>
        <w:spacing w:before="4" w:after="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Classificação de criticidade</w:t>
      </w:r>
      <w:r>
        <w:rPr>
          <w:rFonts w:cs="Arial" w:ascii="Arial" w:hAnsi="Arial"/>
        </w:rPr>
        <w:t xml:space="preserve"> e abertura</w:t>
      </w:r>
      <w:r>
        <w:rPr>
          <w:rFonts w:cs="Arial" w:ascii="Arial" w:hAnsi="Arial"/>
          <w:b/>
          <w:bCs/>
        </w:rPr>
        <w:t xml:space="preserve"> de RNC </w:t>
      </w:r>
      <w:r>
        <w:rPr>
          <w:rFonts w:cs="Arial" w:ascii="Arial" w:hAnsi="Arial"/>
        </w:rPr>
        <w:t>(item 5.5)</w:t>
      </w:r>
    </w:p>
    <w:p>
      <w:pPr>
        <w:pStyle w:val="Normal"/>
        <w:numPr>
          <w:ilvl w:val="0"/>
          <w:numId w:val="10"/>
        </w:numPr>
        <w:spacing w:before="4" w:after="4"/>
        <w:jc w:val="both"/>
        <w:rPr>
          <w:rFonts w:ascii="Arial" w:hAnsi="Arial" w:cs="Arial"/>
        </w:rPr>
      </w:pPr>
      <w:r>
        <w:rPr>
          <w:rFonts w:cs="Arial" w:ascii="Arial" w:hAnsi="Arial"/>
        </w:rPr>
        <w:t>Uso obrigatório dos sistemas:</w:t>
      </w:r>
    </w:p>
    <w:p>
      <w:pPr>
        <w:pStyle w:val="Normal"/>
        <w:numPr>
          <w:ilvl w:val="1"/>
          <w:numId w:val="16"/>
        </w:numPr>
        <w:spacing w:before="4" w:after="4"/>
        <w:jc w:val="both"/>
        <w:rPr>
          <w:rFonts w:ascii="Arial" w:hAnsi="Arial" w:cs="Arial"/>
        </w:rPr>
      </w:pPr>
      <w:r>
        <w:rPr>
          <w:rFonts w:cs="Arial" w:ascii="Arial" w:hAnsi="Arial"/>
        </w:rPr>
        <w:t>Sankhya (abertura e encerramento de OM)</w:t>
      </w:r>
    </w:p>
    <w:p>
      <w:pPr>
        <w:pStyle w:val="Normal"/>
        <w:numPr>
          <w:ilvl w:val="1"/>
          <w:numId w:val="16"/>
        </w:numPr>
        <w:spacing w:before="4" w:after="4"/>
        <w:jc w:val="both"/>
        <w:rPr>
          <w:rFonts w:ascii="Arial" w:hAnsi="Arial" w:cs="Arial"/>
        </w:rPr>
      </w:pPr>
      <w:r>
        <w:rPr>
          <w:rFonts w:cs="Arial" w:ascii="Arial" w:hAnsi="Arial"/>
        </w:rPr>
        <w:t>ClickUp (FR 027_L, FR 049_B e Anexo II)</w:t>
      </w:r>
    </w:p>
    <w:p>
      <w:pPr>
        <w:pStyle w:val="Normal"/>
        <w:numPr>
          <w:ilvl w:val="0"/>
          <w:numId w:val="16"/>
        </w:numPr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Gestão de resíduos </w:t>
      </w:r>
      <w:r>
        <w:rPr>
          <w:rFonts w:cs="Arial" w:ascii="Arial" w:hAnsi="Arial"/>
        </w:rPr>
        <w:t>(segregação, destinação, formulário SGI)</w:t>
      </w:r>
    </w:p>
    <w:p>
      <w:pPr>
        <w:pStyle w:val="Normal"/>
        <w:numPr>
          <w:ilvl w:val="0"/>
          <w:numId w:val="16"/>
        </w:numPr>
        <w:spacing w:before="4" w:after="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Parada de emergência dos motores</w:t>
      </w:r>
      <w:r>
        <w:rPr>
          <w:rFonts w:cs="Arial" w:ascii="Arial" w:hAnsi="Arial"/>
        </w:rPr>
        <w:t xml:space="preserve"> (itens 5.3 e 4.5)</w:t>
      </w:r>
    </w:p>
    <w:p>
      <w:pPr>
        <w:pStyle w:val="Normal"/>
        <w:numPr>
          <w:ilvl w:val="0"/>
          <w:numId w:val="16"/>
        </w:numPr>
        <w:spacing w:before="4" w:after="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 xml:space="preserve">Registro fotográfico </w:t>
      </w:r>
      <w:r>
        <w:rPr>
          <w:rFonts w:cs="Arial" w:ascii="Arial" w:hAnsi="Arial"/>
        </w:rPr>
        <w:t>(antes/depois) com identificação do equipamento, data e hora, local a bordo e responsável (item 5.8)</w:t>
      </w:r>
    </w:p>
    <w:p>
      <w:pPr>
        <w:pStyle w:val="Normal"/>
        <w:numPr>
          <w:ilvl w:val="0"/>
          <w:numId w:val="16"/>
        </w:numPr>
        <w:spacing w:before="4" w:after="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 xml:space="preserve">Níveis de controle de segurança: </w:t>
      </w:r>
      <w:r>
        <w:rPr>
          <w:rFonts w:cs="Arial" w:ascii="Arial" w:hAnsi="Arial"/>
        </w:rPr>
        <w:t>rotina com bloqueio e sinalização e atividades de risco com PT (item 5.11)</w:t>
      </w:r>
    </w:p>
    <w:p>
      <w:pPr>
        <w:pStyle w:val="Normal"/>
        <w:spacing w:before="4" w:after="4"/>
        <w:ind w:start="720" w:end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10.3 Periodicidade</w:t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tbl>
      <w:tblPr>
        <w:tblW w:w="10032" w:type="dxa"/>
        <w:jc w:val="start"/>
        <w:tblInd w:w="75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440"/>
        <w:gridCol w:w="3832"/>
        <w:gridCol w:w="2760"/>
      </w:tblGrid>
      <w:tr>
        <w:trPr>
          <w:trHeight w:val="300" w:hRule="atLeast"/>
        </w:trPr>
        <w:tc>
          <w:tcPr>
            <w:tcW w:w="3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Tipo de treinamento</w:t>
            </w:r>
          </w:p>
        </w:tc>
        <w:tc>
          <w:tcPr>
            <w:tcW w:w="383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Periodicidade</w:t>
            </w:r>
          </w:p>
        </w:tc>
        <w:tc>
          <w:tcPr>
            <w:tcW w:w="27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Carga horária mínima</w:t>
            </w:r>
          </w:p>
        </w:tc>
      </w:tr>
      <w:tr>
        <w:trPr>
          <w:trHeight w:val="510" w:hRule="atLeast"/>
        </w:trPr>
        <w:tc>
          <w:tcPr>
            <w:tcW w:w="3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Integração (admissão)</w:t>
            </w:r>
          </w:p>
        </w:tc>
        <w:tc>
          <w:tcPr>
            <w:tcW w:w="383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Único, antes da primeira operação</w:t>
            </w:r>
          </w:p>
        </w:tc>
        <w:tc>
          <w:tcPr>
            <w:tcW w:w="27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8 horas</w:t>
            </w:r>
          </w:p>
        </w:tc>
      </w:tr>
      <w:tr>
        <w:trPr>
          <w:trHeight w:val="300" w:hRule="atLeast"/>
        </w:trPr>
        <w:tc>
          <w:tcPr>
            <w:tcW w:w="3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Reciclagem obrigatória</w:t>
            </w:r>
          </w:p>
        </w:tc>
        <w:tc>
          <w:tcPr>
            <w:tcW w:w="383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Anual</w:t>
            </w:r>
          </w:p>
        </w:tc>
        <w:tc>
          <w:tcPr>
            <w:tcW w:w="27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4 horas</w:t>
            </w:r>
          </w:p>
        </w:tc>
      </w:tr>
      <w:tr>
        <w:trPr>
          <w:trHeight w:val="510" w:hRule="atLeast"/>
        </w:trPr>
        <w:tc>
          <w:tcPr>
            <w:tcW w:w="3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Pós-falha crítica</w:t>
            </w:r>
          </w:p>
        </w:tc>
        <w:tc>
          <w:tcPr>
            <w:tcW w:w="383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Após RNC com falha classe Crítica ou Alta</w:t>
            </w:r>
          </w:p>
        </w:tc>
        <w:tc>
          <w:tcPr>
            <w:tcW w:w="27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2 horas (focado na causa raiz)</w:t>
            </w:r>
          </w:p>
        </w:tc>
      </w:tr>
    </w:tbl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10.4 Ministrante</w:t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numPr>
          <w:ilvl w:val="0"/>
          <w:numId w:val="13"/>
        </w:numPr>
        <w:spacing w:before="4" w:after="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Parte teórica (normas e procedimentos):</w:t>
      </w:r>
      <w:r>
        <w:rPr>
          <w:rFonts w:cs="Arial" w:ascii="Arial" w:hAnsi="Arial"/>
        </w:rPr>
        <w:t> SESMT ou Supervisor de Manutenção</w:t>
      </w:r>
    </w:p>
    <w:p>
      <w:pPr>
        <w:pStyle w:val="Normal"/>
        <w:numPr>
          <w:ilvl w:val="0"/>
          <w:numId w:val="13"/>
        </w:numPr>
        <w:spacing w:before="4" w:after="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Parte prática (equipamentos):</w:t>
      </w:r>
      <w:r>
        <w:rPr>
          <w:rFonts w:cs="Arial" w:ascii="Arial" w:hAnsi="Arial"/>
        </w:rPr>
        <w:t> Supervisor de Manutenção ou Assistência Técnica Autorizada (conforme item 4.10)</w:t>
      </w:r>
    </w:p>
    <w:p>
      <w:pPr>
        <w:pStyle w:val="Normal"/>
        <w:numPr>
          <w:ilvl w:val="0"/>
          <w:numId w:val="13"/>
        </w:numPr>
        <w:spacing w:before="4" w:after="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Sankhya / ClickUp:</w:t>
      </w:r>
      <w:r>
        <w:rPr>
          <w:rFonts w:cs="Arial" w:ascii="Arial" w:hAnsi="Arial"/>
        </w:rPr>
        <w:t> Supervisor de Manutenção ou TI</w:t>
      </w:r>
    </w:p>
    <w:p>
      <w:pPr>
        <w:pStyle w:val="Normal"/>
        <w:spacing w:before="4" w:after="4"/>
        <w:ind w:start="720" w:end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10.5 Registro e Evidências</w:t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tbl>
      <w:tblPr>
        <w:tblW w:w="8280" w:type="dxa"/>
        <w:jc w:val="start"/>
        <w:tblInd w:w="75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660"/>
        <w:gridCol w:w="3620"/>
        <w:gridCol w:w="2000"/>
      </w:tblGrid>
      <w:tr>
        <w:trPr>
          <w:trHeight w:val="300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Item</w:t>
            </w:r>
          </w:p>
        </w:tc>
        <w:tc>
          <w:tcPr>
            <w:tcW w:w="3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Onde fica armazenado</w:t>
            </w:r>
          </w:p>
        </w:tc>
        <w:tc>
          <w:tcPr>
            <w:tcW w:w="20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Prazo de retenção</w:t>
            </w:r>
          </w:p>
        </w:tc>
      </w:tr>
      <w:tr>
        <w:trPr>
          <w:trHeight w:val="510" w:hRule="atLeast"/>
        </w:trPr>
        <w:tc>
          <w:tcPr>
            <w:tcW w:w="26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Lista de presença</w:t>
            </w:r>
          </w:p>
        </w:tc>
        <w:tc>
          <w:tcPr>
            <w:tcW w:w="362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Setor de Segurança do Trabalho (SESMT)</w:t>
            </w:r>
          </w:p>
        </w:tc>
        <w:tc>
          <w:tcPr>
            <w:tcW w:w="200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5 anos</w:t>
            </w:r>
          </w:p>
        </w:tc>
      </w:tr>
      <w:tr>
        <w:trPr>
          <w:trHeight w:val="510" w:hRule="atLeast"/>
        </w:trPr>
        <w:tc>
          <w:tcPr>
            <w:tcW w:w="26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Certificado de treinamento</w:t>
            </w:r>
          </w:p>
        </w:tc>
        <w:tc>
          <w:tcPr>
            <w:tcW w:w="362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Prontuário do funcionário (físico ou digital)</w:t>
            </w:r>
          </w:p>
        </w:tc>
        <w:tc>
          <w:tcPr>
            <w:tcW w:w="200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5 anos</w:t>
            </w:r>
          </w:p>
        </w:tc>
      </w:tr>
      <w:tr>
        <w:trPr>
          <w:trHeight w:val="510" w:hRule="atLeast"/>
        </w:trPr>
        <w:tc>
          <w:tcPr>
            <w:tcW w:w="26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Evidência fotográfica ou teste prático</w:t>
            </w:r>
          </w:p>
        </w:tc>
        <w:tc>
          <w:tcPr>
            <w:tcW w:w="362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Anexado ao prontuário</w:t>
            </w:r>
          </w:p>
        </w:tc>
        <w:tc>
          <w:tcPr>
            <w:tcW w:w="200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5 anos</w:t>
            </w:r>
          </w:p>
        </w:tc>
      </w:tr>
      <w:tr>
        <w:trPr>
          <w:trHeight w:val="510" w:hRule="atLeast"/>
        </w:trPr>
        <w:tc>
          <w:tcPr>
            <w:tcW w:w="26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Controle de validade (vencimento da reciclagem)</w:t>
            </w:r>
          </w:p>
        </w:tc>
        <w:tc>
          <w:tcPr>
            <w:tcW w:w="362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Planilha de gestão de competências (SESMT)</w:t>
            </w:r>
          </w:p>
        </w:tc>
        <w:tc>
          <w:tcPr>
            <w:tcW w:w="200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lang w:eastAsia="pt-BR"/>
              </w:rPr>
            </w:pPr>
            <w:r>
              <w:rPr>
                <w:rFonts w:cs="Arial" w:ascii="Arial" w:hAnsi="Arial"/>
                <w:color w:val="000000"/>
                <w:lang w:eastAsia="pt-BR"/>
              </w:rPr>
              <w:t>Durante o contrato</w:t>
            </w:r>
          </w:p>
        </w:tc>
      </w:tr>
    </w:tbl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4" w:after="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4" w:after="4"/>
        <w:jc w:val="both"/>
        <w:rPr/>
      </w:pPr>
      <w:r>
        <w:rPr>
          <w:rFonts w:cs="Arial" w:ascii="Arial" w:hAnsi="Arial"/>
          <w:b/>
          <w:bCs/>
        </w:rPr>
        <w:t>11.0 Consenso e Aprovação</w:t>
      </w:r>
    </w:p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tbl>
      <w:tblPr>
        <w:tblW w:w="9355" w:type="dxa"/>
        <w:jc w:val="start"/>
        <w:tblInd w:w="339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536"/>
        <w:gridCol w:w="4819"/>
      </w:tblGrid>
      <w:tr>
        <w:trPr/>
        <w:tc>
          <w:tcPr>
            <w:tcW w:w="4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etabela"/>
              <w:snapToGrid w:val="false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2"/>
                <w:szCs w:val="22"/>
              </w:rPr>
              <w:t>Responsáveis</w:t>
            </w:r>
          </w:p>
        </w:tc>
        <w:tc>
          <w:tcPr>
            <w:tcW w:w="48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Contedodetabela"/>
              <w:snapToGrid w:val="false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2"/>
                <w:szCs w:val="22"/>
              </w:rPr>
              <w:t>Nome</w:t>
            </w:r>
          </w:p>
        </w:tc>
      </w:tr>
      <w:tr>
        <w:trPr/>
        <w:tc>
          <w:tcPr>
            <w:tcW w:w="453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etabela"/>
              <w:snapToGrid w:val="false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Elaborador</w:t>
            </w:r>
          </w:p>
        </w:tc>
        <w:tc>
          <w:tcPr>
            <w:tcW w:w="4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Contedodetabela"/>
              <w:snapToGrid w:val="false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Arlesson Fernandes</w:t>
            </w:r>
          </w:p>
        </w:tc>
      </w:tr>
      <w:tr>
        <w:trPr/>
        <w:tc>
          <w:tcPr>
            <w:tcW w:w="453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etabela"/>
              <w:snapToGrid w:val="false"/>
              <w:jc w:val="center"/>
              <w:rPr/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Avaliador</w:t>
            </w:r>
          </w:p>
        </w:tc>
        <w:tc>
          <w:tcPr>
            <w:tcW w:w="4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Contedodetabela"/>
              <w:snapToGrid w:val="false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Eliseu Rudialen</w:t>
            </w:r>
          </w:p>
        </w:tc>
      </w:tr>
      <w:tr>
        <w:trPr/>
        <w:tc>
          <w:tcPr>
            <w:tcW w:w="453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etabela"/>
              <w:snapToGrid w:val="false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Avaliador</w:t>
            </w:r>
          </w:p>
        </w:tc>
        <w:tc>
          <w:tcPr>
            <w:tcW w:w="4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Contedodetabela"/>
              <w:snapToGrid w:val="false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Claudia Bortotto</w:t>
            </w:r>
          </w:p>
        </w:tc>
      </w:tr>
      <w:tr>
        <w:trPr/>
        <w:tc>
          <w:tcPr>
            <w:tcW w:w="453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etabela"/>
              <w:snapToGrid w:val="false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Avaliador</w:t>
            </w:r>
          </w:p>
        </w:tc>
        <w:tc>
          <w:tcPr>
            <w:tcW w:w="4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Contedodetabela"/>
              <w:snapToGrid w:val="false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Arina Lima</w:t>
            </w:r>
          </w:p>
        </w:tc>
      </w:tr>
      <w:tr>
        <w:trPr/>
        <w:tc>
          <w:tcPr>
            <w:tcW w:w="453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etabela"/>
              <w:snapToGrid w:val="false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Aprovador</w:t>
            </w:r>
          </w:p>
        </w:tc>
        <w:tc>
          <w:tcPr>
            <w:tcW w:w="4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Contedodetabela"/>
              <w:snapToGrid w:val="false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Samy Lins</w:t>
            </w:r>
          </w:p>
        </w:tc>
      </w:tr>
      <w:tr>
        <w:trPr/>
        <w:tc>
          <w:tcPr>
            <w:tcW w:w="453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etabela"/>
              <w:snapToGrid w:val="false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Implantador</w:t>
            </w:r>
          </w:p>
        </w:tc>
        <w:tc>
          <w:tcPr>
            <w:tcW w:w="4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Contedodetabela"/>
              <w:snapToGrid w:val="false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Arlesson Fernandes</w:t>
            </w:r>
          </w:p>
        </w:tc>
      </w:tr>
    </w:tbl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  <w:t>12. HISTÓRICO DE ALTERAÇÕES</w:t>
      </w:r>
    </w:p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tbl>
      <w:tblPr>
        <w:tblW w:w="9776" w:type="dxa"/>
        <w:jc w:val="start"/>
        <w:tblInd w:w="75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619"/>
        <w:gridCol w:w="620"/>
        <w:gridCol w:w="941"/>
        <w:gridCol w:w="1205"/>
        <w:gridCol w:w="3556"/>
        <w:gridCol w:w="1559"/>
        <w:gridCol w:w="1276"/>
      </w:tblGrid>
      <w:tr>
        <w:trPr>
          <w:trHeight w:val="450" w:hRule="atLeast"/>
        </w:trPr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  <w:lang w:eastAsia="pt-BR"/>
              </w:rPr>
              <w:t>Rev</w:t>
            </w:r>
          </w:p>
        </w:tc>
        <w:tc>
          <w:tcPr>
            <w:tcW w:w="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  <w:lang w:eastAsia="pt-BR"/>
              </w:rPr>
              <w:t>Ed</w:t>
            </w:r>
          </w:p>
        </w:tc>
        <w:tc>
          <w:tcPr>
            <w:tcW w:w="9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  <w:lang w:eastAsia="pt-BR"/>
              </w:rPr>
              <w:t>Data</w:t>
            </w:r>
          </w:p>
        </w:tc>
        <w:tc>
          <w:tcPr>
            <w:tcW w:w="12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  <w:lang w:eastAsia="pt-BR"/>
              </w:rPr>
              <w:t>Itens</w:t>
            </w:r>
          </w:p>
        </w:tc>
        <w:tc>
          <w:tcPr>
            <w:tcW w:w="3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  <w:lang w:eastAsia="pt-BR"/>
              </w:rPr>
              <w:t>Histórico das Alterações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  <w:lang w:eastAsia="pt-BR"/>
              </w:rPr>
              <w:t>Originador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  <w:lang w:eastAsia="pt-BR"/>
              </w:rPr>
              <w:t>Aprovado por</w:t>
            </w:r>
          </w:p>
        </w:tc>
      </w:tr>
      <w:tr>
        <w:trPr>
          <w:trHeight w:val="188" w:hRule="atLeast"/>
        </w:trPr>
        <w:tc>
          <w:tcPr>
            <w:tcW w:w="6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0</w:t>
            </w:r>
          </w:p>
        </w:tc>
        <w:tc>
          <w:tcPr>
            <w:tcW w:w="62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27/11/2013</w:t>
            </w:r>
          </w:p>
        </w:tc>
        <w:tc>
          <w:tcPr>
            <w:tcW w:w="1205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Todos</w:t>
            </w:r>
          </w:p>
        </w:tc>
        <w:tc>
          <w:tcPr>
            <w:tcW w:w="355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Revisão Geral do Procedimento.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Jussara Miranda</w:t>
            </w:r>
          </w:p>
        </w:tc>
        <w:tc>
          <w:tcPr>
            <w:tcW w:w="127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Gerencia</w:t>
            </w:r>
          </w:p>
        </w:tc>
      </w:tr>
      <w:tr>
        <w:trPr>
          <w:trHeight w:val="133" w:hRule="atLeast"/>
        </w:trPr>
        <w:tc>
          <w:tcPr>
            <w:tcW w:w="6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62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04/11/2014</w:t>
            </w:r>
          </w:p>
        </w:tc>
        <w:tc>
          <w:tcPr>
            <w:tcW w:w="1205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Todos</w:t>
            </w:r>
          </w:p>
        </w:tc>
        <w:tc>
          <w:tcPr>
            <w:tcW w:w="355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Revisão de procedimento sem alteração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Jussara Miranda</w:t>
            </w:r>
          </w:p>
        </w:tc>
        <w:tc>
          <w:tcPr>
            <w:tcW w:w="127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Gerencia</w:t>
            </w:r>
          </w:p>
        </w:tc>
      </w:tr>
      <w:tr>
        <w:trPr>
          <w:trHeight w:val="222" w:hRule="atLeast"/>
        </w:trPr>
        <w:tc>
          <w:tcPr>
            <w:tcW w:w="6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62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01/03/2016</w:t>
            </w:r>
          </w:p>
        </w:tc>
        <w:tc>
          <w:tcPr>
            <w:tcW w:w="1205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-</w:t>
            </w:r>
          </w:p>
        </w:tc>
        <w:tc>
          <w:tcPr>
            <w:tcW w:w="355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Revisão do procedimento sem alteração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Jussara Miranda</w:t>
            </w:r>
          </w:p>
        </w:tc>
        <w:tc>
          <w:tcPr>
            <w:tcW w:w="127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Gerencia</w:t>
            </w:r>
          </w:p>
        </w:tc>
      </w:tr>
      <w:tr>
        <w:trPr>
          <w:trHeight w:val="282" w:hRule="atLeast"/>
        </w:trPr>
        <w:tc>
          <w:tcPr>
            <w:tcW w:w="6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62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25/10/2016</w:t>
            </w:r>
          </w:p>
        </w:tc>
        <w:tc>
          <w:tcPr>
            <w:tcW w:w="1205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-</w:t>
            </w:r>
          </w:p>
        </w:tc>
        <w:tc>
          <w:tcPr>
            <w:tcW w:w="355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/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Revisão geral do procedimento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Jussara Miranda</w:t>
            </w:r>
          </w:p>
        </w:tc>
        <w:tc>
          <w:tcPr>
            <w:tcW w:w="127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Gerencia</w:t>
            </w:r>
          </w:p>
        </w:tc>
      </w:tr>
      <w:tr>
        <w:trPr>
          <w:trHeight w:val="272" w:hRule="atLeast"/>
        </w:trPr>
        <w:tc>
          <w:tcPr>
            <w:tcW w:w="6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4</w:t>
            </w:r>
          </w:p>
        </w:tc>
        <w:tc>
          <w:tcPr>
            <w:tcW w:w="62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23/02/2017</w:t>
            </w:r>
          </w:p>
        </w:tc>
        <w:tc>
          <w:tcPr>
            <w:tcW w:w="1205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-</w:t>
            </w:r>
          </w:p>
        </w:tc>
        <w:tc>
          <w:tcPr>
            <w:tcW w:w="355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Revalidação do procedimento sem alteração.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Jussara Miranda</w:t>
            </w:r>
          </w:p>
        </w:tc>
        <w:tc>
          <w:tcPr>
            <w:tcW w:w="127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Gerencia</w:t>
            </w:r>
          </w:p>
        </w:tc>
      </w:tr>
      <w:tr>
        <w:trPr>
          <w:trHeight w:val="275" w:hRule="atLeast"/>
        </w:trPr>
        <w:tc>
          <w:tcPr>
            <w:tcW w:w="6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5</w:t>
            </w:r>
          </w:p>
        </w:tc>
        <w:tc>
          <w:tcPr>
            <w:tcW w:w="62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08/03/2017</w:t>
            </w:r>
          </w:p>
        </w:tc>
        <w:tc>
          <w:tcPr>
            <w:tcW w:w="1205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-</w:t>
            </w:r>
          </w:p>
        </w:tc>
        <w:tc>
          <w:tcPr>
            <w:tcW w:w="355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Revisão geral do procedimento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Raimundo Silva</w:t>
            </w:r>
          </w:p>
        </w:tc>
        <w:tc>
          <w:tcPr>
            <w:tcW w:w="127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Gerencia</w:t>
            </w:r>
          </w:p>
        </w:tc>
      </w:tr>
      <w:tr>
        <w:trPr>
          <w:trHeight w:val="551" w:hRule="atLeast"/>
        </w:trPr>
        <w:tc>
          <w:tcPr>
            <w:tcW w:w="6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0</w:t>
            </w:r>
          </w:p>
        </w:tc>
        <w:tc>
          <w:tcPr>
            <w:tcW w:w="62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04/06/2019</w:t>
            </w:r>
          </w:p>
        </w:tc>
        <w:tc>
          <w:tcPr>
            <w:tcW w:w="1205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Alterados os itens 5.1 e 5.2</w:t>
            </w:r>
          </w:p>
        </w:tc>
        <w:tc>
          <w:tcPr>
            <w:tcW w:w="355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Adequação do procedimento ao processo atual 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Aleksander Pereira </w:t>
            </w:r>
          </w:p>
        </w:tc>
        <w:tc>
          <w:tcPr>
            <w:tcW w:w="127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Gerencia</w:t>
            </w:r>
          </w:p>
        </w:tc>
      </w:tr>
      <w:tr>
        <w:trPr>
          <w:trHeight w:val="417" w:hRule="atLeast"/>
        </w:trPr>
        <w:tc>
          <w:tcPr>
            <w:tcW w:w="6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62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30/07/2020</w:t>
            </w:r>
          </w:p>
        </w:tc>
        <w:tc>
          <w:tcPr>
            <w:tcW w:w="1205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Todos</w:t>
            </w:r>
          </w:p>
        </w:tc>
        <w:tc>
          <w:tcPr>
            <w:tcW w:w="355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Revisão Geral do Procedimento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Raimundo Silva</w:t>
            </w:r>
          </w:p>
        </w:tc>
        <w:tc>
          <w:tcPr>
            <w:tcW w:w="127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Gerencia</w:t>
            </w:r>
          </w:p>
        </w:tc>
      </w:tr>
      <w:tr>
        <w:trPr>
          <w:trHeight w:val="279" w:hRule="atLeast"/>
        </w:trPr>
        <w:tc>
          <w:tcPr>
            <w:tcW w:w="6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62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12/08/2022</w:t>
            </w:r>
          </w:p>
        </w:tc>
        <w:tc>
          <w:tcPr>
            <w:tcW w:w="1205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Todos</w:t>
            </w:r>
          </w:p>
        </w:tc>
        <w:tc>
          <w:tcPr>
            <w:tcW w:w="355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Revisão Geral do Procedimento, sem alteração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Raimundo Silva</w:t>
            </w:r>
          </w:p>
        </w:tc>
        <w:tc>
          <w:tcPr>
            <w:tcW w:w="127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Gerencia</w:t>
            </w:r>
          </w:p>
        </w:tc>
      </w:tr>
      <w:tr>
        <w:trPr>
          <w:trHeight w:val="270" w:hRule="atLeast"/>
        </w:trPr>
        <w:tc>
          <w:tcPr>
            <w:tcW w:w="619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62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941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28/09/2022</w:t>
            </w:r>
          </w:p>
        </w:tc>
        <w:tc>
          <w:tcPr>
            <w:tcW w:w="1205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6</w:t>
            </w:r>
          </w:p>
        </w:tc>
        <w:tc>
          <w:tcPr>
            <w:tcW w:w="3556" w:type="dxa"/>
            <w:tcBorders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Atualização dos Formulários</w:t>
            </w:r>
          </w:p>
        </w:tc>
        <w:tc>
          <w:tcPr>
            <w:tcW w:w="1559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Vitória Gonçalves</w:t>
            </w:r>
          </w:p>
        </w:tc>
        <w:tc>
          <w:tcPr>
            <w:tcW w:w="127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Gerencia</w:t>
            </w:r>
          </w:p>
        </w:tc>
      </w:tr>
      <w:tr>
        <w:trPr>
          <w:trHeight w:val="273" w:hRule="atLeast"/>
        </w:trPr>
        <w:tc>
          <w:tcPr>
            <w:tcW w:w="61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napToGrid w:val="false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</w:r>
          </w:p>
        </w:tc>
        <w:tc>
          <w:tcPr>
            <w:tcW w:w="62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napToGrid w:val="false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</w:r>
          </w:p>
        </w:tc>
        <w:tc>
          <w:tcPr>
            <w:tcW w:w="941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napToGrid w:val="false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</w:r>
          </w:p>
        </w:tc>
        <w:tc>
          <w:tcPr>
            <w:tcW w:w="1205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napToGrid w:val="false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</w:r>
          </w:p>
        </w:tc>
        <w:tc>
          <w:tcPr>
            <w:tcW w:w="355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FR 024 _C e FR 024 _D</w:t>
            </w:r>
          </w:p>
        </w:tc>
        <w:tc>
          <w:tcPr>
            <w:tcW w:w="155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napToGrid w:val="false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</w:r>
          </w:p>
        </w:tc>
        <w:tc>
          <w:tcPr>
            <w:tcW w:w="127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Gerencia</w:t>
            </w:r>
          </w:p>
        </w:tc>
      </w:tr>
      <w:tr>
        <w:trPr>
          <w:trHeight w:val="419" w:hRule="atLeast"/>
        </w:trPr>
        <w:tc>
          <w:tcPr>
            <w:tcW w:w="6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4</w:t>
            </w:r>
          </w:p>
        </w:tc>
        <w:tc>
          <w:tcPr>
            <w:tcW w:w="62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21/12/2022</w:t>
            </w:r>
          </w:p>
        </w:tc>
        <w:tc>
          <w:tcPr>
            <w:tcW w:w="1205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5.2</w:t>
            </w:r>
          </w:p>
        </w:tc>
        <w:tc>
          <w:tcPr>
            <w:tcW w:w="355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 xml:space="preserve">Atualização de formulário utilizado para gerar solicitação de serviços </w:t>
            </w: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  <w:lang w:eastAsia="pt-BR"/>
              </w:rPr>
              <w:t>(FR 027_B obsoleto)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Charles Bernardo</w:t>
            </w:r>
          </w:p>
        </w:tc>
        <w:tc>
          <w:tcPr>
            <w:tcW w:w="127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Gerencia</w:t>
            </w:r>
          </w:p>
        </w:tc>
      </w:tr>
      <w:tr>
        <w:trPr>
          <w:trHeight w:val="412" w:hRule="atLeast"/>
        </w:trPr>
        <w:tc>
          <w:tcPr>
            <w:tcW w:w="6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5</w:t>
            </w:r>
          </w:p>
        </w:tc>
        <w:tc>
          <w:tcPr>
            <w:tcW w:w="62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11/02/2023</w:t>
            </w:r>
          </w:p>
        </w:tc>
        <w:tc>
          <w:tcPr>
            <w:tcW w:w="1205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5.5 / 5.5.1</w:t>
            </w:r>
          </w:p>
        </w:tc>
        <w:tc>
          <w:tcPr>
            <w:tcW w:w="355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Descrição dos formulários FR FR 024_C e FR 024_D 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Charles Bernardo</w:t>
            </w:r>
          </w:p>
        </w:tc>
        <w:tc>
          <w:tcPr>
            <w:tcW w:w="127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Gerencia</w:t>
            </w:r>
          </w:p>
        </w:tc>
      </w:tr>
      <w:tr>
        <w:trPr>
          <w:trHeight w:val="300" w:hRule="atLeast"/>
        </w:trPr>
        <w:tc>
          <w:tcPr>
            <w:tcW w:w="619" w:type="dxa"/>
            <w:vMerge w:val="restart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0</w:t>
            </w:r>
          </w:p>
        </w:tc>
        <w:tc>
          <w:tcPr>
            <w:tcW w:w="620" w:type="dxa"/>
            <w:vMerge w:val="restart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941" w:type="dxa"/>
            <w:vMerge w:val="restart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10/07/2025</w:t>
            </w:r>
          </w:p>
        </w:tc>
        <w:tc>
          <w:tcPr>
            <w:tcW w:w="1205" w:type="dxa"/>
            <w:tcBorders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4.4 /4.4.1/ 5.2 / 5.3</w:t>
            </w:r>
          </w:p>
        </w:tc>
        <w:tc>
          <w:tcPr>
            <w:tcW w:w="3556" w:type="dxa"/>
            <w:tcBorders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Revisão: De ‘’Coordenador de Navegação’’ para ‘’Supervisor de Manutenção’’,</w:t>
            </w:r>
          </w:p>
        </w:tc>
        <w:tc>
          <w:tcPr>
            <w:tcW w:w="1559" w:type="dxa"/>
            <w:vMerge w:val="restart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Rodrigo Lima</w:t>
            </w:r>
          </w:p>
        </w:tc>
        <w:tc>
          <w:tcPr>
            <w:tcW w:w="1276" w:type="dxa"/>
            <w:vMerge w:val="restart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Gerencia</w:t>
            </w:r>
          </w:p>
        </w:tc>
      </w:tr>
      <w:tr>
        <w:trPr>
          <w:trHeight w:val="300" w:hRule="atLeast"/>
        </w:trPr>
        <w:tc>
          <w:tcPr>
            <w:tcW w:w="61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napToGrid w:val="false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</w:r>
          </w:p>
        </w:tc>
        <w:tc>
          <w:tcPr>
            <w:tcW w:w="620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napToGrid w:val="false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</w:r>
          </w:p>
        </w:tc>
        <w:tc>
          <w:tcPr>
            <w:tcW w:w="941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napToGrid w:val="false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</w:r>
          </w:p>
        </w:tc>
        <w:tc>
          <w:tcPr>
            <w:tcW w:w="1205" w:type="dxa"/>
            <w:tcBorders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5.6 / 5.7 / 5.11</w:t>
            </w:r>
          </w:p>
        </w:tc>
        <w:tc>
          <w:tcPr>
            <w:tcW w:w="3556" w:type="dxa"/>
            <w:tcBorders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‘’Analista de Manutenção’’ para ‘’Supervisor de Manutenção’’.</w:t>
            </w:r>
          </w:p>
        </w:tc>
        <w:tc>
          <w:tcPr>
            <w:tcW w:w="155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napToGrid w:val="false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</w:r>
          </w:p>
        </w:tc>
        <w:tc>
          <w:tcPr>
            <w:tcW w:w="1276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napToGrid w:val="false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</w:r>
          </w:p>
        </w:tc>
      </w:tr>
      <w:tr>
        <w:trPr>
          <w:trHeight w:val="188" w:hRule="atLeast"/>
        </w:trPr>
        <w:tc>
          <w:tcPr>
            <w:tcW w:w="61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napToGrid w:val="false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</w:r>
          </w:p>
        </w:tc>
        <w:tc>
          <w:tcPr>
            <w:tcW w:w="620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napToGrid w:val="false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</w:r>
          </w:p>
        </w:tc>
        <w:tc>
          <w:tcPr>
            <w:tcW w:w="941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napToGrid w:val="false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</w:r>
          </w:p>
        </w:tc>
        <w:tc>
          <w:tcPr>
            <w:tcW w:w="1205" w:type="dxa"/>
            <w:tcBorders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5.12 / 5.13 / 5.14</w:t>
            </w:r>
          </w:p>
        </w:tc>
        <w:tc>
          <w:tcPr>
            <w:tcW w:w="3556" w:type="dxa"/>
            <w:tcBorders>
              <w:end w:val="single" w:sz="4" w:space="0" w:color="000000"/>
            </w:tcBorders>
          </w:tcPr>
          <w:p>
            <w:pPr>
              <w:pStyle w:val="Normal"/>
              <w:suppressAutoHyphens w:val="false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55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napToGrid w:val="false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</w:r>
          </w:p>
        </w:tc>
        <w:tc>
          <w:tcPr>
            <w:tcW w:w="1276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napToGrid w:val="false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</w:r>
          </w:p>
        </w:tc>
      </w:tr>
      <w:tr>
        <w:trPr>
          <w:trHeight w:val="4018" w:hRule="atLeast"/>
        </w:trPr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ind w:firstLine="160" w:end="0"/>
              <w:rPr>
                <w:rFonts w:ascii="Arial" w:hAnsi="Arial" w:cs="Arial"/>
                <w:color w:val="0F1115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F1115"/>
                <w:sz w:val="16"/>
                <w:szCs w:val="16"/>
                <w:lang w:eastAsia="pt-BR"/>
              </w:rPr>
              <w:t>4</w:t>
            </w:r>
          </w:p>
        </w:tc>
        <w:tc>
          <w:tcPr>
            <w:tcW w:w="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ind w:firstLine="160" w:end="0"/>
              <w:rPr>
                <w:rFonts w:ascii="Arial" w:hAnsi="Arial" w:cs="Arial"/>
                <w:color w:val="0F1115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F1115"/>
                <w:sz w:val="16"/>
                <w:szCs w:val="16"/>
                <w:lang w:eastAsia="pt-BR"/>
              </w:rPr>
              <w:t>0</w:t>
            </w:r>
          </w:p>
        </w:tc>
        <w:tc>
          <w:tcPr>
            <w:tcW w:w="9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ind w:firstLine="160" w:end="0"/>
              <w:rPr>
                <w:rFonts w:ascii="Arial" w:hAnsi="Arial" w:cs="Arial"/>
                <w:color w:val="0F1115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F1115"/>
                <w:sz w:val="16"/>
                <w:szCs w:val="16"/>
                <w:lang w:eastAsia="pt-BR"/>
              </w:rPr>
              <w:t>22/04/26</w:t>
            </w:r>
          </w:p>
        </w:tc>
        <w:tc>
          <w:tcPr>
            <w:tcW w:w="12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ind w:firstLine="160" w:end="0"/>
              <w:jc w:val="center"/>
              <w:rPr>
                <w:rFonts w:ascii="Arial" w:hAnsi="Arial" w:cs="Arial"/>
                <w:color w:val="0F1115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F1115"/>
                <w:sz w:val="16"/>
                <w:szCs w:val="16"/>
                <w:lang w:eastAsia="pt-BR"/>
              </w:rPr>
              <w:t>Todos</w:t>
            </w:r>
          </w:p>
        </w:tc>
        <w:tc>
          <w:tcPr>
            <w:tcW w:w="3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76" w:before="0" w:after="70"/>
              <w:jc w:val="both"/>
              <w:rPr>
                <w:rFonts w:ascii="Arial" w:hAnsi="Arial" w:cs="Arial"/>
                <w:b/>
                <w:bCs/>
                <w:color w:val="0F1115"/>
                <w:sz w:val="12"/>
                <w:szCs w:val="12"/>
                <w:lang w:eastAsia="pt-BR"/>
              </w:rPr>
            </w:pPr>
            <w:r>
              <w:rPr>
                <w:rFonts w:cs="Arial" w:ascii="Arial" w:hAnsi="Arial"/>
                <w:b/>
                <w:bCs/>
                <w:color w:val="0F1115"/>
                <w:sz w:val="12"/>
                <w:szCs w:val="12"/>
                <w:lang w:eastAsia="pt-BR"/>
              </w:rPr>
              <w:t>SUBSTITUIÇÃO COMPLETA DO DOCUMENTO.</w:t>
            </w:r>
            <w:r>
              <w:rPr>
                <w:rFonts w:cs="Arial" w:ascii="Arial" w:hAnsi="Arial"/>
                <w:color w:val="0F1115"/>
                <w:sz w:val="12"/>
                <w:szCs w:val="12"/>
                <w:lang w:eastAsia="pt-BR"/>
              </w:rPr>
              <w:t> </w:t>
            </w:r>
            <w:r>
              <w:rPr>
                <w:rFonts w:eastAsia="Arial" w:cs="Arial" w:ascii="Arial" w:hAnsi="Arial"/>
                <w:sz w:val="12"/>
                <w:szCs w:val="12"/>
              </w:rPr>
              <w:t>O antigo procedimento "Troca de Óleo Motor de Empurradores e Balsas" foi substituído pelo "Plano de Gestão de Manutenção – Empurradores"; as balsas tanque passam a ser tratadas na NP Navecunha 024. Principais mudanças: (1) Escopo ampliado para gestão completa de 8 sistemas críticos (item 6.3) e 11 sistemas no plano preventivo (item 7.1 e Anexo I); (2) 4 níveis de criticidade (Crítica/Alta/Média/Baixa) com prazos de ação (item 5.5.1); (3) KPIs com fórmulas e regras de apuração (item 9); (4) Integração com Sankhya e ClickUp; (5) Registro fotográfico (antes/depois) anexado à OM; (6) Gestão de resíduos com rastreabilidade (item 5.7); (7) Treinamento obrigatório com reciclagem anual (item 10); (8) Alinhamento com ISO 9001/14001/45001, NORMAM e NPCF-CFAOC; (9) Item 5.11 reestruturado: rotina com bloqueio e sinalização e APR padrão, atividades de risco com PT do SESMT e restritas a emergência em viagem, serviços externos; (10) Manutenção preditiva definida: teste de compressão dos MCPs a cada 1.000 h (junto com a calibração dos bicos), análise de óleo semestral em rodízio priorizada pela compressão, com cada MCP analisado ao menos 1 vez a cada 24 meses, e tendência trimestral de parâmetros; indicador "Cumprimento do plano preditivo ≥ 80%, apuração trimestral"; (11) Programação das preventivas por horímetro e calendário; inspeções antes da saída (5.3) e em viagem (5.4); Diário de Máquinas; (12) Fórmulas de Disponibilidade, MTBF e MTTR; metas revisadas após 6 meses; (13) Estoque mínimo e Anexo III; (14) Item 5.12 e item 4.11 – responsabilidades do T.I.; (15) Horímetro do motor de popa e das motobombas registrado no FR 027_L (item 4.4); (16) Lote e validade do lubrificante registrados no FR 049_B Rev.03, proibido o uso de óleo vencido (item 5.9).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false"/>
              <w:ind w:firstLine="160" w:end="0"/>
              <w:rPr>
                <w:rFonts w:ascii="Arial" w:hAnsi="Arial" w:cs="Arial"/>
                <w:color w:val="0F1115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F1115"/>
                <w:sz w:val="16"/>
                <w:szCs w:val="16"/>
                <w:lang w:eastAsia="pt-BR"/>
              </w:rPr>
              <w:t>Arlesson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</w:tbl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>
          <w:rFonts w:ascii="Arial" w:hAnsi="Arial" w:cs="Arial"/>
          <w:b/>
          <w:bCs/>
          <w:color w:val="0F1115"/>
          <w:lang w:eastAsia="pt-BR"/>
        </w:rPr>
      </w:pPr>
      <w:r>
        <w:rPr>
          <w:rFonts w:cs="Arial" w:ascii="Arial" w:hAnsi="Arial"/>
          <w:b/>
          <w:bCs/>
          <w:color w:val="0F1115"/>
          <w:lang w:eastAsia="pt-BR"/>
        </w:rPr>
      </w:r>
    </w:p>
    <w:p>
      <w:pPr>
        <w:pStyle w:val="Normal"/>
        <w:numPr>
          <w:ilvl w:val="0"/>
          <w:numId w:val="0"/>
        </w:numPr>
        <w:shd w:fill="FFFFFF" w:val="clear"/>
        <w:spacing w:lineRule="atLeast" w:line="0" w:before="4" w:after="4"/>
        <w:outlineLvl w:val="2"/>
        <w:rPr/>
      </w:pPr>
      <w:r>
        <w:rPr>
          <w:rFonts w:eastAsia="Arial" w:cs="Arial" w:ascii="Arial" w:hAnsi="Arial"/>
          <w:bCs/>
          <w:color w:val="0F1115"/>
          <w:lang w:eastAsia="pt-BR"/>
        </w:rPr>
        <w:t xml:space="preserve">                                                                                                                                                                                                           </w:t>
      </w:r>
      <w:r>
        <w:rPr>
          <w:rFonts w:eastAsia="Arial" w:cs="Arial" w:ascii="Arial" w:hAnsi="Arial"/>
          <w:bCs/>
          <w:color w:val="0F1115"/>
          <w:sz w:val="22"/>
          <w:szCs w:val="22"/>
          <w:lang w:eastAsia="pt-B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>
      <w:headerReference w:type="default" r:id="rId2"/>
      <w:footerReference w:type="default" r:id="rId3"/>
      <w:type w:val="nextPage"/>
      <w:pgSz w:w="11906" w:h="16838"/>
      <w:pgMar w:left="1276" w:right="1134" w:gutter="0" w:header="624" w:top="680" w:footer="510" w:bottom="709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Marlett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Arial Unicode M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  </w:t>
    </w:r>
    <w:r>
      <w:rPr>
        <w:lang w:val="en-US" w:eastAsia="en-US"/>
      </w:rPr>
      <w:drawing>
        <wp:inline distT="0" distB="0" distL="0" distR="0">
          <wp:extent cx="3048000" cy="381000"/>
          <wp:effectExtent l="0" t="0" r="0" b="0"/>
          <wp:docPr id="2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95" r="-12" b="-95"/>
                  <a:stretch>
                    <a:fillRect/>
                  </a:stretch>
                </pic:blipFill>
                <pic:spPr bwMode="auto">
                  <a:xfrm>
                    <a:off x="0" y="0"/>
                    <a:ext cx="3048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10" w:type="dxa"/>
      <w:jc w:val="start"/>
      <w:tblInd w:w="171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790"/>
      <w:gridCol w:w="1100"/>
      <w:gridCol w:w="2723"/>
      <w:gridCol w:w="938"/>
      <w:gridCol w:w="1175"/>
      <w:gridCol w:w="1084"/>
    </w:tblGrid>
    <w:tr>
      <w:trPr>
        <w:trHeight w:val="600" w:hRule="atLeast"/>
      </w:trPr>
      <w:tc>
        <w:tcPr>
          <w:tcW w:w="2790" w:type="dxa"/>
          <w:tcBorders>
            <w:top w:val="double" w:sz="2" w:space="0" w:color="000000"/>
            <w:start w:val="double" w:sz="2" w:space="0" w:color="000000"/>
            <w:bottom w:val="single" w:sz="4" w:space="0" w:color="000000"/>
          </w:tcBorders>
        </w:tcPr>
        <w:p>
          <w:pPr>
            <w:pStyle w:val="Normal"/>
            <w:widowControl w:val="false"/>
            <w:snapToGrid w:val="false"/>
            <w:ind w:firstLine="313" w:start="-313" w:end="0"/>
            <w:jc w:val="center"/>
            <w:rPr>
              <w:rFonts w:ascii="Arial" w:hAnsi="Arial" w:cs="Arial"/>
              <w:sz w:val="24"/>
              <w:szCs w:val="24"/>
              <w:lang w:val="es-MX"/>
            </w:rPr>
          </w:pPr>
          <w:r>
            <w:rPr>
              <w:rFonts w:cs="Arial" w:ascii="Arial" w:hAnsi="Arial"/>
              <w:sz w:val="24"/>
              <w:szCs w:val="24"/>
              <w:lang w:val="en-US" w:eastAsia="en-US"/>
            </w:rPr>
            <w:drawing>
              <wp:inline distT="0" distB="0" distL="0" distR="0">
                <wp:extent cx="1560830" cy="760730"/>
                <wp:effectExtent l="0" t="0" r="0" b="0"/>
                <wp:docPr id="1" name="Imagem 4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4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6" t="-32" r="-16" b="-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0830" cy="7607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23" w:type="dxa"/>
          <w:gridSpan w:val="2"/>
          <w:tcBorders>
            <w:top w:val="double" w:sz="2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snapToGrid w:val="false"/>
            <w:rPr>
              <w:rFonts w:ascii="Arial" w:hAnsi="Arial" w:cs="Arial"/>
              <w:sz w:val="24"/>
              <w:szCs w:val="24"/>
              <w:lang w:val="es-ES"/>
            </w:rPr>
          </w:pPr>
          <w:r>
            <w:rPr>
              <w:rFonts w:cs="Arial" w:ascii="Arial" w:hAnsi="Arial"/>
              <w:sz w:val="24"/>
              <w:szCs w:val="24"/>
              <w:lang w:val="es-ES"/>
            </w:rPr>
          </w:r>
        </w:p>
        <w:p>
          <w:pPr>
            <w:pStyle w:val="Normal"/>
            <w:jc w:val="center"/>
            <w:rPr>
              <w:rFonts w:ascii="Arial" w:hAnsi="Arial" w:cs="Arial"/>
              <w:b/>
              <w:bCs/>
              <w:sz w:val="36"/>
              <w:szCs w:val="36"/>
            </w:rPr>
          </w:pPr>
          <w:r>
            <w:rPr>
              <w:rFonts w:cs="Arial" w:ascii="Arial" w:hAnsi="Arial"/>
              <w:b/>
              <w:bCs/>
              <w:sz w:val="36"/>
              <w:szCs w:val="36"/>
            </w:rPr>
            <w:t>PROCEDIMENTO</w:t>
          </w:r>
        </w:p>
        <w:p>
          <w:pPr>
            <w:pStyle w:val="Header"/>
            <w:tabs>
              <w:tab w:val="left" w:pos="708" w:leader="none"/>
              <w:tab w:val="center" w:pos="4252" w:leader="none"/>
              <w:tab w:val="right" w:pos="8504" w:leader="none"/>
            </w:tabs>
            <w:rPr>
              <w:rFonts w:ascii="Arial" w:hAnsi="Arial" w:cs="Arial"/>
              <w:b/>
              <w:bCs/>
              <w:sz w:val="36"/>
              <w:szCs w:val="24"/>
            </w:rPr>
          </w:pPr>
          <w:r>
            <w:rPr>
              <w:rFonts w:cs="Arial" w:ascii="Arial" w:hAnsi="Arial"/>
              <w:b/>
              <w:bCs/>
              <w:sz w:val="36"/>
              <w:szCs w:val="24"/>
            </w:rPr>
          </w:r>
        </w:p>
        <w:p>
          <w:pPr>
            <w:pStyle w:val="Header"/>
            <w:tabs>
              <w:tab w:val="left" w:pos="708" w:leader="none"/>
              <w:tab w:val="center" w:pos="4252" w:leader="none"/>
              <w:tab w:val="right" w:pos="8504" w:leader="none"/>
            </w:tabs>
            <w:rPr>
              <w:rFonts w:ascii="Arial" w:hAnsi="Arial" w:cs="Arial"/>
              <w:szCs w:val="24"/>
            </w:rPr>
          </w:pPr>
          <w:r>
            <w:rPr>
              <w:rFonts w:cs="Arial" w:ascii="Arial" w:hAnsi="Arial"/>
              <w:szCs w:val="24"/>
            </w:rPr>
          </w:r>
        </w:p>
      </w:tc>
      <w:tc>
        <w:tcPr>
          <w:tcW w:w="3197" w:type="dxa"/>
          <w:gridSpan w:val="3"/>
          <w:tcBorders>
            <w:top w:val="double" w:sz="2" w:space="0" w:color="000000"/>
            <w:start w:val="single" w:sz="4" w:space="0" w:color="000000"/>
            <w:bottom w:val="single" w:sz="4" w:space="0" w:color="000000"/>
            <w:end w:val="double" w:sz="2" w:space="0" w:color="000000"/>
          </w:tcBorders>
        </w:tcPr>
        <w:p>
          <w:pPr>
            <w:pStyle w:val="Normal"/>
            <w:snapToGrid w:val="false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cs="Arial" w:ascii="Arial" w:hAnsi="Arial"/>
              <w:b/>
              <w:sz w:val="24"/>
              <w:szCs w:val="24"/>
            </w:rPr>
          </w:r>
        </w:p>
        <w:p>
          <w:pPr>
            <w:pStyle w:val="Normal"/>
            <w:snapToGrid w:val="false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Doc. No.:</w:t>
          </w:r>
        </w:p>
        <w:p>
          <w:pPr>
            <w:pStyle w:val="Normal"/>
            <w:snapToGrid w:val="false"/>
            <w:rPr>
              <w:rFonts w:ascii="Arial" w:hAnsi="Arial" w:cs="Arial"/>
              <w:bCs/>
              <w:sz w:val="28"/>
              <w:szCs w:val="28"/>
              <w:lang w:val="es-ES"/>
            </w:rPr>
          </w:pPr>
          <w:r>
            <w:rPr>
              <w:rFonts w:cs="Arial" w:ascii="Arial" w:hAnsi="Arial"/>
              <w:bCs/>
              <w:sz w:val="28"/>
              <w:szCs w:val="28"/>
              <w:lang w:val="es-ES"/>
            </w:rPr>
            <w:t>NP Navecunha 055</w:t>
          </w:r>
        </w:p>
        <w:p>
          <w:pPr>
            <w:pStyle w:val="Normal"/>
            <w:widowControl w:val="false"/>
            <w:snapToGrid w:val="false"/>
            <w:jc w:val="center"/>
            <w:rPr>
              <w:rFonts w:ascii="Arial" w:hAnsi="Arial" w:cs="Arial"/>
              <w:bCs/>
              <w:sz w:val="24"/>
              <w:szCs w:val="24"/>
              <w:lang w:val="es-ES"/>
            </w:rPr>
          </w:pPr>
          <w:r>
            <w:rPr>
              <w:rFonts w:cs="Arial" w:ascii="Arial" w:hAnsi="Arial"/>
              <w:bCs/>
              <w:sz w:val="24"/>
              <w:szCs w:val="24"/>
              <w:lang w:val="es-ES"/>
            </w:rPr>
          </w:r>
        </w:p>
      </w:tc>
    </w:tr>
    <w:tr>
      <w:trPr>
        <w:trHeight w:val="729" w:hRule="atLeast"/>
      </w:trPr>
      <w:tc>
        <w:tcPr>
          <w:tcW w:w="7551" w:type="dxa"/>
          <w:gridSpan w:val="4"/>
          <w:tcBorders>
            <w:top w:val="single" w:sz="4" w:space="0" w:color="000000"/>
            <w:start w:val="double" w:sz="2" w:space="0" w:color="000000"/>
            <w:bottom w:val="single" w:sz="4" w:space="0" w:color="000000"/>
          </w:tcBorders>
          <w:vAlign w:val="center"/>
        </w:tcPr>
        <w:p>
          <w:pPr>
            <w:pStyle w:val="Normal"/>
            <w:widowControl w:val="false"/>
            <w:tabs>
              <w:tab w:val="clear" w:pos="708"/>
              <w:tab w:val="left" w:pos="1800" w:leader="none"/>
            </w:tabs>
            <w:snapToGrid w:val="false"/>
            <w:rPr>
              <w:rFonts w:ascii="Arial" w:hAnsi="Arial" w:cs="Arial"/>
              <w:sz w:val="24"/>
              <w:szCs w:val="24"/>
            </w:rPr>
          </w:pPr>
          <w:r>
            <w:rPr>
              <w:rFonts w:cs="Arial" w:ascii="Arial" w:hAnsi="Arial"/>
              <w:b/>
              <w:sz w:val="24"/>
              <w:szCs w:val="24"/>
            </w:rPr>
            <w:t>Título:</w:t>
          </w:r>
          <w:r>
            <w:rPr>
              <w:rFonts w:cs="Arial" w:ascii="Arial" w:hAnsi="Arial"/>
              <w:sz w:val="24"/>
              <w:szCs w:val="24"/>
            </w:rPr>
            <w:t xml:space="preserve"> </w:t>
          </w:r>
          <w:r>
            <w:rPr>
              <w:rStyle w:val="Strong"/>
              <w:rFonts w:cs="Arial" w:ascii="Arial" w:hAnsi="Arial"/>
              <w:b w:val="false"/>
              <w:bCs w:val="false"/>
              <w:color w:val="0F1115"/>
              <w:sz w:val="24"/>
              <w:szCs w:val="24"/>
              <w:shd w:fill="FFFFFF" w:val="clear"/>
            </w:rPr>
            <w:t>Plano de Gestão de Manutenção – Empurradores Fluviais</w:t>
          </w:r>
        </w:p>
      </w:tc>
      <w:tc>
        <w:tcPr>
          <w:tcW w:w="2259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double" w:sz="2" w:space="0" w:color="000000"/>
          </w:tcBorders>
          <w:vAlign w:val="center"/>
        </w:tcPr>
        <w:p>
          <w:pPr>
            <w:pStyle w:val="Normal"/>
            <w:widowControl w:val="false"/>
            <w:snapToGrid w:val="false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cs="Arial" w:ascii="Arial" w:hAnsi="Arial"/>
              <w:b/>
              <w:sz w:val="24"/>
              <w:szCs w:val="24"/>
            </w:rPr>
            <w:t>Página:</w:t>
          </w:r>
          <w:r>
            <w:rPr>
              <w:rFonts w:cs="Arial" w:ascii="Arial" w:hAnsi="Arial"/>
              <w:sz w:val="24"/>
              <w:szCs w:val="24"/>
            </w:rPr>
            <w:t xml:space="preserve"> </w:t>
          </w:r>
          <w:r>
            <w:rPr>
              <w:rFonts w:cs="Arial" w:ascii="Arial" w:hAnsi="Arial"/>
              <w:sz w:val="24"/>
              <w:szCs w:val="24"/>
            </w:rPr>
            <w:fldChar w:fldCharType="begin"/>
          </w:r>
          <w:r>
            <w:rPr>
              <w:sz w:val="24"/>
              <w:szCs w:val="24"/>
              <w:rFonts w:cs="Arial" w:ascii="Arial" w:hAnsi="Arial"/>
            </w:rPr>
            <w:instrText xml:space="preserve"> PAGE </w:instrText>
          </w:r>
          <w:r>
            <w:rPr>
              <w:sz w:val="24"/>
              <w:szCs w:val="24"/>
              <w:rFonts w:cs="Arial" w:ascii="Arial" w:hAnsi="Arial"/>
            </w:rPr>
            <w:fldChar w:fldCharType="separate"/>
          </w:r>
          <w:r>
            <w:rPr>
              <w:sz w:val="24"/>
              <w:szCs w:val="24"/>
              <w:rFonts w:cs="Arial" w:ascii="Arial" w:hAnsi="Arial"/>
            </w:rPr>
            <w:t>20</w:t>
          </w:r>
          <w:r>
            <w:rPr>
              <w:sz w:val="24"/>
              <w:szCs w:val="24"/>
              <w:rFonts w:cs="Arial" w:ascii="Arial" w:hAnsi="Arial"/>
            </w:rPr>
            <w:fldChar w:fldCharType="end"/>
          </w:r>
          <w:r>
            <w:rPr>
              <w:rFonts w:cs="Arial" w:ascii="Arial" w:hAnsi="Arial"/>
              <w:sz w:val="24"/>
              <w:szCs w:val="24"/>
            </w:rPr>
            <w:t xml:space="preserve"> de </w:t>
          </w:r>
          <w:r>
            <w:rPr>
              <w:rFonts w:cs="Arial" w:ascii="Arial" w:hAnsi="Arial"/>
              <w:sz w:val="24"/>
              <w:szCs w:val="24"/>
            </w:rPr>
            <w:fldChar w:fldCharType="begin"/>
          </w:r>
          <w:r>
            <w:rPr>
              <w:sz w:val="24"/>
              <w:szCs w:val="24"/>
              <w:rFonts w:cs="Arial" w:ascii="Arial" w:hAnsi="Arial"/>
            </w:rPr>
            <w:instrText xml:space="preserve"> NUMPAGES \* ARABIC </w:instrText>
          </w:r>
          <w:r>
            <w:rPr>
              <w:sz w:val="24"/>
              <w:szCs w:val="24"/>
              <w:rFonts w:cs="Arial" w:ascii="Arial" w:hAnsi="Arial"/>
            </w:rPr>
            <w:fldChar w:fldCharType="separate"/>
          </w:r>
          <w:r>
            <w:rPr>
              <w:sz w:val="24"/>
              <w:szCs w:val="24"/>
              <w:rFonts w:cs="Arial" w:ascii="Arial" w:hAnsi="Arial"/>
            </w:rPr>
            <w:t>20</w:t>
          </w:r>
          <w:r>
            <w:rPr>
              <w:sz w:val="24"/>
              <w:szCs w:val="24"/>
              <w:rFonts w:cs="Arial" w:ascii="Arial" w:hAnsi="Arial"/>
            </w:rPr>
            <w:fldChar w:fldCharType="end"/>
          </w:r>
        </w:p>
      </w:tc>
    </w:tr>
    <w:tr>
      <w:trPr>
        <w:trHeight w:val="480" w:hRule="atLeast"/>
      </w:trPr>
      <w:tc>
        <w:tcPr>
          <w:tcW w:w="3890" w:type="dxa"/>
          <w:gridSpan w:val="2"/>
          <w:tcBorders>
            <w:top w:val="single" w:sz="4" w:space="0" w:color="000000"/>
            <w:start w:val="double" w:sz="2" w:space="0" w:color="000000"/>
            <w:bottom w:val="single" w:sz="4" w:space="0" w:color="000000"/>
          </w:tcBorders>
          <w:vAlign w:val="center"/>
        </w:tcPr>
        <w:p>
          <w:pPr>
            <w:pStyle w:val="Normal"/>
            <w:widowControl w:val="false"/>
            <w:tabs>
              <w:tab w:val="clear" w:pos="708"/>
              <w:tab w:val="left" w:pos="1800" w:leader="none"/>
            </w:tabs>
            <w:snapToGrid w:val="false"/>
            <w:rPr>
              <w:rFonts w:ascii="Arial" w:hAnsi="Arial" w:cs="Arial"/>
              <w:sz w:val="24"/>
              <w:szCs w:val="24"/>
            </w:rPr>
          </w:pPr>
          <w:r>
            <w:rPr>
              <w:rFonts w:cs="Arial" w:ascii="Arial" w:hAnsi="Arial"/>
              <w:b/>
              <w:sz w:val="24"/>
              <w:szCs w:val="24"/>
            </w:rPr>
            <w:t xml:space="preserve">Data de Efetivação: </w:t>
          </w:r>
          <w:r>
            <w:rPr>
              <w:rFonts w:cs="Arial" w:ascii="Arial" w:hAnsi="Arial"/>
              <w:bCs/>
              <w:sz w:val="24"/>
              <w:szCs w:val="24"/>
            </w:rPr>
            <w:t>17/04/2028</w:t>
          </w:r>
        </w:p>
      </w:tc>
      <w:tc>
        <w:tcPr>
          <w:tcW w:w="3661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 w:val="false"/>
            <w:snapToGrid w:val="false"/>
            <w:rPr>
              <w:rFonts w:ascii="Arial" w:hAnsi="Arial" w:cs="Arial"/>
              <w:sz w:val="24"/>
              <w:szCs w:val="24"/>
            </w:rPr>
          </w:pPr>
          <w:r>
            <w:rPr>
              <w:rFonts w:cs="Arial" w:ascii="Arial" w:hAnsi="Arial"/>
              <w:b/>
              <w:sz w:val="24"/>
              <w:szCs w:val="24"/>
            </w:rPr>
            <w:t>Data de Validade:</w:t>
          </w:r>
          <w:r>
            <w:rPr>
              <w:rFonts w:cs="Arial" w:ascii="Arial" w:hAnsi="Arial"/>
              <w:sz w:val="24"/>
              <w:szCs w:val="24"/>
            </w:rPr>
            <w:t xml:space="preserve"> 17/04/2028</w:t>
          </w:r>
        </w:p>
      </w:tc>
      <w:tc>
        <w:tcPr>
          <w:tcW w:w="117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widowControl w:val="false"/>
            <w:snapToGrid w:val="false"/>
            <w:rPr/>
          </w:pPr>
          <w:r>
            <w:rPr>
              <w:rFonts w:cs="Arial" w:ascii="Arial" w:hAnsi="Arial"/>
              <w:b/>
              <w:sz w:val="24"/>
              <w:szCs w:val="24"/>
            </w:rPr>
            <w:t>Rev:</w:t>
          </w:r>
          <w:r>
            <w:rPr>
              <w:rFonts w:cs="Arial" w:ascii="Arial" w:hAnsi="Arial"/>
              <w:sz w:val="24"/>
              <w:szCs w:val="24"/>
            </w:rPr>
            <w:t xml:space="preserve"> 04</w:t>
          </w:r>
        </w:p>
      </w:tc>
      <w:tc>
        <w:tcPr>
          <w:tcW w:w="108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double" w:sz="2" w:space="0" w:color="000000"/>
          </w:tcBorders>
          <w:vAlign w:val="center"/>
        </w:tcPr>
        <w:p>
          <w:pPr>
            <w:pStyle w:val="Normal"/>
            <w:widowControl w:val="false"/>
            <w:snapToGrid w:val="false"/>
            <w:rPr/>
          </w:pPr>
          <w:r>
            <w:rPr>
              <w:rFonts w:cs="Arial" w:ascii="Arial" w:hAnsi="Arial"/>
              <w:b/>
              <w:sz w:val="24"/>
              <w:szCs w:val="24"/>
            </w:rPr>
            <w:t xml:space="preserve">Ed: </w:t>
          </w:r>
          <w:r>
            <w:rPr>
              <w:rFonts w:cs="Arial" w:ascii="Arial" w:hAnsi="Arial"/>
              <w:sz w:val="24"/>
              <w:szCs w:val="24"/>
            </w:rPr>
            <w:t>00</w:t>
          </w:r>
        </w:p>
      </w:tc>
    </w:tr>
    <w:tr>
      <w:trPr>
        <w:trHeight w:val="480" w:hRule="atLeast"/>
      </w:trPr>
      <w:tc>
        <w:tcPr>
          <w:tcW w:w="9810" w:type="dxa"/>
          <w:gridSpan w:val="6"/>
          <w:tcBorders>
            <w:top w:val="single" w:sz="4" w:space="0" w:color="000000"/>
            <w:start w:val="double" w:sz="2" w:space="0" w:color="000000"/>
            <w:bottom w:val="single" w:sz="4" w:space="0" w:color="000000"/>
            <w:end w:val="double" w:sz="2" w:space="0" w:color="000000"/>
          </w:tcBorders>
          <w:vAlign w:val="center"/>
        </w:tcPr>
        <w:p>
          <w:pPr>
            <w:pStyle w:val="Normal"/>
            <w:snapToGrid w:val="false"/>
            <w:rPr/>
          </w:pPr>
          <w:r>
            <w:rPr>
              <w:rFonts w:cs="Arial" w:ascii="Arial" w:hAnsi="Arial"/>
              <w:b/>
              <w:sz w:val="24"/>
              <w:szCs w:val="24"/>
            </w:rPr>
            <w:t>Origem:</w:t>
          </w:r>
          <w:r>
            <w:rPr>
              <w:rFonts w:cs="Arial" w:ascii="Arial" w:hAnsi="Arial"/>
              <w:sz w:val="24"/>
              <w:szCs w:val="24"/>
            </w:rPr>
            <w:t xml:space="preserve"> NBR ISO 9001:2015, ISO 14001:2015 e ISO 45001:2018</w:t>
          </w:r>
        </w:p>
      </w:tc>
    </w:tr>
    <w:tr>
      <w:trPr>
        <w:trHeight w:val="480" w:hRule="atLeast"/>
      </w:trPr>
      <w:tc>
        <w:tcPr>
          <w:tcW w:w="9810" w:type="dxa"/>
          <w:gridSpan w:val="6"/>
          <w:tcBorders>
            <w:top w:val="single" w:sz="4" w:space="0" w:color="000000"/>
            <w:start w:val="double" w:sz="2" w:space="0" w:color="000000"/>
            <w:bottom w:val="double" w:sz="2" w:space="0" w:color="000000"/>
            <w:end w:val="double" w:sz="2" w:space="0" w:color="000000"/>
          </w:tcBorders>
          <w:vAlign w:val="center"/>
        </w:tcPr>
        <w:p>
          <w:pPr>
            <w:pStyle w:val="Normal"/>
            <w:widowControl w:val="false"/>
            <w:tabs>
              <w:tab w:val="clear" w:pos="708"/>
              <w:tab w:val="left" w:pos="1800" w:leader="none"/>
            </w:tabs>
            <w:snapToGrid w:val="false"/>
            <w:rPr/>
          </w:pPr>
          <w:r>
            <w:rPr>
              <w:rFonts w:cs="Arial" w:ascii="Arial" w:hAnsi="Arial"/>
              <w:b/>
              <w:sz w:val="24"/>
              <w:szCs w:val="24"/>
            </w:rPr>
            <w:t xml:space="preserve">Aplicável á: </w:t>
          </w:r>
          <w:r>
            <w:rPr>
              <w:rFonts w:cs="Arial" w:ascii="Arial" w:hAnsi="Arial"/>
              <w:sz w:val="24"/>
              <w:szCs w:val="24"/>
            </w:rPr>
            <w:t>Navegação Cunha Ltda.</w:t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decimal"/>
      <w:lvlText w:val="%1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1.%2"/>
      <w:lvlJc w:val="start"/>
      <w:pPr>
        <w:tabs>
          <w:tab w:val="num" w:pos="420"/>
        </w:tabs>
        <w:ind w:start="420" w:hanging="420"/>
      </w:p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3"/>
      <w:pStyle w:val="Heading4"/>
      <w:numFmt w:val="decimal"/>
      <w:lvlText w:val="%4"/>
      <w:lvlJc w:val="start"/>
      <w:pPr>
        <w:tabs>
          <w:tab w:val="num" w:pos="360"/>
        </w:tabs>
        <w:ind w:start="360" w:hanging="360"/>
      </w:pPr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1"/>
      <w:numFmt w:val="decimal"/>
      <w:lvlText w:val="%2"/>
      <w:lvlJc w:val="start"/>
      <w:pPr>
        <w:tabs>
          <w:tab w:val="num" w:pos="0"/>
        </w:tabs>
        <w:ind w:start="1464" w:hanging="384"/>
      </w:pPr>
      <w:rPr/>
    </w:lvl>
    <w:lvl w:ilvl="2">
      <w:start w:val="11"/>
      <w:numFmt w:val="decimal"/>
      <w:lvlText w:val="%3"/>
      <w:lvlJc w:val="start"/>
      <w:pPr>
        <w:tabs>
          <w:tab w:val="num" w:pos="0"/>
        </w:tabs>
        <w:ind w:start="2184" w:hanging="384"/>
      </w:pPr>
      <w:rPr>
        <w:b w:val="false"/>
        <w:color w:val="00000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ascii="Arial" w:hAnsi="Arial" w:eastAsia="Times New Roman" w:cs="Arial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502"/>
        </w:tabs>
        <w:ind w:start="502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222"/>
        </w:tabs>
        <w:ind w:start="122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1942"/>
        </w:tabs>
        <w:ind w:start="1942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662"/>
        </w:tabs>
        <w:ind w:start="2662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382"/>
        </w:tabs>
        <w:ind w:start="3382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102"/>
        </w:tabs>
        <w:ind w:start="4102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4822"/>
        </w:tabs>
        <w:ind w:start="4822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542"/>
        </w:tabs>
        <w:ind w:start="5542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262"/>
        </w:tabs>
        <w:ind w:start="6262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2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8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spacing w:before="60" w:after="60"/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widowControl w:val="false"/>
      <w:spacing w:before="120" w:after="0"/>
      <w:outlineLvl w:val="1"/>
    </w:pPr>
    <w:rPr>
      <w:rFonts w:ascii="Arial" w:hAnsi="Arial" w:cs="Arial"/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jc w:val="both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  <w:color w:val="0000FF"/>
      <w:sz w:val="24"/>
    </w:rPr>
  </w:style>
  <w:style w:type="paragraph" w:styleId="Heading5">
    <w:name w:val="Heading 5"/>
    <w:basedOn w:val="Normal"/>
    <w:next w:val="Normal"/>
    <w:qFormat/>
    <w:pPr>
      <w:keepNext w:val="true"/>
      <w:jc w:val="both"/>
      <w:outlineLvl w:val="4"/>
    </w:pPr>
    <w:rPr>
      <w:color w:val="0000FF"/>
      <w:sz w:val="24"/>
    </w:rPr>
  </w:style>
  <w:style w:type="paragraph" w:styleId="Heading6">
    <w:name w:val="Heading 6"/>
    <w:basedOn w:val="Normal"/>
    <w:next w:val="Normal"/>
    <w:qFormat/>
    <w:pPr>
      <w:keepNext w:val="true"/>
      <w:outlineLvl w:val="5"/>
    </w:pPr>
    <w:rPr>
      <w:b/>
      <w:sz w:val="16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Calibri" w:hAnsi="Calibri" w:eastAsia="Times New Roman" w:cs="Times New Roman"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spacing w:before="120" w:after="0"/>
      <w:jc w:val="center"/>
      <w:outlineLvl w:val="7"/>
    </w:pPr>
    <w:rPr>
      <w:b/>
      <w:sz w:val="16"/>
    </w:rPr>
  </w:style>
  <w:style w:type="paragraph" w:styleId="Heading9">
    <w:name w:val="Heading 9"/>
    <w:basedOn w:val="Normal"/>
    <w:next w:val="Normal"/>
    <w:qFormat/>
    <w:pPr>
      <w:keepNext w:val="true"/>
      <w:jc w:val="center"/>
      <w:outlineLvl w:val="8"/>
    </w:pPr>
    <w:rPr>
      <w:b/>
      <w:color w:val="0000FF"/>
      <w:sz w:val="24"/>
    </w:rPr>
  </w:style>
  <w:style w:type="character" w:styleId="WW8Num3z1">
    <w:name w:val="WW8Num3z1"/>
    <w:qFormat/>
    <w:rPr>
      <w:b/>
    </w:rPr>
  </w:style>
  <w:style w:type="character" w:styleId="WW8Num4z1">
    <w:name w:val="WW8Num4z1"/>
    <w:qFormat/>
    <w:rPr>
      <w:b/>
    </w:rPr>
  </w:style>
  <w:style w:type="character" w:styleId="WW8Num5z1">
    <w:name w:val="WW8Num5z1"/>
    <w:qFormat/>
    <w:rPr>
      <w:rFonts w:ascii="Arial" w:hAnsi="Arial" w:cs="Arial"/>
      <w:b/>
      <w:bCs/>
      <w:sz w:val="20"/>
      <w:szCs w:val="20"/>
    </w:rPr>
  </w:style>
  <w:style w:type="character" w:styleId="WW8Num5z2">
    <w:name w:val="WW8Num5z2"/>
    <w:qFormat/>
    <w:rPr>
      <w:rFonts w:ascii="Marlett" w:hAnsi="Marlett" w:cs="Marlett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7z1">
    <w:name w:val="WW8Num7z1"/>
    <w:qFormat/>
    <w:rPr>
      <w:rFonts w:ascii="Courier New" w:hAnsi="Courier New" w:cs="Courier New"/>
      <w:sz w:val="20"/>
    </w:rPr>
  </w:style>
  <w:style w:type="character" w:styleId="WW8Num7z2">
    <w:name w:val="WW8Num7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ascii="Symbol" w:hAnsi="Symbol" w:cs="Symbol"/>
      <w:sz w:val="20"/>
    </w:rPr>
  </w:style>
  <w:style w:type="character" w:styleId="WW8Num8z1">
    <w:name w:val="WW8Num8z1"/>
    <w:qFormat/>
    <w:rPr>
      <w:rFonts w:ascii="Courier New" w:hAnsi="Courier New" w:cs="Courier New"/>
      <w:sz w:val="20"/>
    </w:rPr>
  </w:style>
  <w:style w:type="character" w:styleId="WW8Num8z2">
    <w:name w:val="WW8Num8z2"/>
    <w:qFormat/>
    <w:rPr>
      <w:rFonts w:ascii="Wingdings" w:hAnsi="Wingdings" w:cs="Wingdings"/>
      <w:sz w:val="20"/>
    </w:rPr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9z1">
    <w:name w:val="WW8Num9z1"/>
    <w:qFormat/>
    <w:rPr>
      <w:rFonts w:ascii="Courier New" w:hAnsi="Courier New" w:cs="Courier New"/>
      <w:sz w:val="20"/>
    </w:rPr>
  </w:style>
  <w:style w:type="character" w:styleId="WW8Num9z2">
    <w:name w:val="WW8Num9z2"/>
    <w:qFormat/>
    <w:rPr>
      <w:rFonts w:ascii="Wingdings" w:hAnsi="Wingdings" w:cs="Wingdings"/>
      <w:sz w:val="20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WW8Num11z0">
    <w:name w:val="WW8Num11z0"/>
    <w:qFormat/>
    <w:rPr>
      <w:lang w:val="pt-PT" w:bidi="ar-SA"/>
    </w:rPr>
  </w:style>
  <w:style w:type="character" w:styleId="WW8Num11z3">
    <w:name w:val="WW8Num11z3"/>
    <w:qFormat/>
    <w:rPr>
      <w:rFonts w:ascii="Arial" w:hAnsi="Arial" w:eastAsia="Arial" w:cs="Arial"/>
      <w:b/>
      <w:bCs/>
      <w:i w:val="false"/>
      <w:iCs w:val="false"/>
      <w:spacing w:val="-3"/>
      <w:w w:val="100"/>
      <w:sz w:val="22"/>
      <w:szCs w:val="22"/>
      <w:lang w:val="pt-PT" w:bidi="ar-SA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2z1">
    <w:name w:val="WW8Num12z1"/>
    <w:qFormat/>
    <w:rPr/>
  </w:style>
  <w:style w:type="character" w:styleId="WW8Num12z2">
    <w:name w:val="WW8Num12z2"/>
    <w:qFormat/>
    <w:rPr>
      <w:b w:val="false"/>
      <w:color w:val="000000"/>
    </w:rPr>
  </w:style>
  <w:style w:type="character" w:styleId="WW8Num12z3">
    <w:name w:val="WW8Num12z3"/>
    <w:qFormat/>
    <w:rPr>
      <w:rFonts w:ascii="Wingdings" w:hAnsi="Wingdings" w:cs="Wingdings"/>
      <w:sz w:val="20"/>
    </w:rPr>
  </w:style>
  <w:style w:type="character" w:styleId="WW8Num13z0">
    <w:name w:val="WW8Num13z0"/>
    <w:qFormat/>
    <w:rPr>
      <w:rFonts w:ascii="Symbol" w:hAnsi="Symbol" w:cs="Symbol"/>
      <w:sz w:val="20"/>
    </w:rPr>
  </w:style>
  <w:style w:type="character" w:styleId="WW8Num13z1">
    <w:name w:val="WW8Num13z1"/>
    <w:qFormat/>
    <w:rPr>
      <w:rFonts w:ascii="Courier New" w:hAnsi="Courier New" w:cs="Courier New"/>
      <w:sz w:val="20"/>
    </w:rPr>
  </w:style>
  <w:style w:type="character" w:styleId="WW8Num13z2">
    <w:name w:val="WW8Num13z2"/>
    <w:qFormat/>
    <w:rPr>
      <w:rFonts w:ascii="Wingdings" w:hAnsi="Wingdings" w:cs="Wingdings"/>
      <w:sz w:val="20"/>
    </w:rPr>
  </w:style>
  <w:style w:type="character" w:styleId="WW8Num14z0">
    <w:name w:val="WW8Num14z0"/>
    <w:qFormat/>
    <w:rPr>
      <w:rFonts w:ascii="Symbol" w:hAnsi="Symbol" w:cs="Symbol"/>
      <w:sz w:val="20"/>
    </w:rPr>
  </w:style>
  <w:style w:type="character" w:styleId="WW8Num14z1">
    <w:name w:val="WW8Num14z1"/>
    <w:qFormat/>
    <w:rPr>
      <w:rFonts w:ascii="Courier New" w:hAnsi="Courier New" w:cs="Courier New"/>
      <w:sz w:val="20"/>
    </w:rPr>
  </w:style>
  <w:style w:type="character" w:styleId="WW8Num14z2">
    <w:name w:val="WW8Num14z2"/>
    <w:qFormat/>
    <w:rPr>
      <w:rFonts w:ascii="Wingdings" w:hAnsi="Wingdings" w:cs="Wingdings"/>
      <w:sz w:val="20"/>
    </w:rPr>
  </w:style>
  <w:style w:type="character" w:styleId="WW8Num15z0">
    <w:name w:val="WW8Num15z0"/>
    <w:qFormat/>
    <w:rPr>
      <w:rFonts w:ascii="Symbol" w:hAnsi="Symbol" w:cs="Symbol"/>
      <w:sz w:val="20"/>
    </w:rPr>
  </w:style>
  <w:style w:type="character" w:styleId="WW8Num15z1">
    <w:name w:val="WW8Num15z1"/>
    <w:qFormat/>
    <w:rPr>
      <w:rFonts w:ascii="Courier New" w:hAnsi="Courier New" w:cs="Courier New"/>
      <w:sz w:val="20"/>
    </w:rPr>
  </w:style>
  <w:style w:type="character" w:styleId="WW8Num15z2">
    <w:name w:val="WW8Num15z2"/>
    <w:qFormat/>
    <w:rPr>
      <w:rFonts w:ascii="Wingdings" w:hAnsi="Wingdings" w:cs="Wingdings"/>
      <w:sz w:val="20"/>
    </w:rPr>
  </w:style>
  <w:style w:type="character" w:styleId="WW8Num16z0">
    <w:name w:val="WW8Num16z0"/>
    <w:qFormat/>
    <w:rPr>
      <w:rFonts w:ascii="Symbol" w:hAnsi="Symbol" w:cs="Symbol"/>
      <w:sz w:val="20"/>
    </w:rPr>
  </w:style>
  <w:style w:type="character" w:styleId="WW8Num16z1">
    <w:name w:val="WW8Num16z1"/>
    <w:qFormat/>
    <w:rPr>
      <w:rFonts w:ascii="Courier New" w:hAnsi="Courier New" w:cs="Courier New"/>
      <w:sz w:val="20"/>
    </w:rPr>
  </w:style>
  <w:style w:type="character" w:styleId="WW8Num16z2">
    <w:name w:val="WW8Num16z2"/>
    <w:qFormat/>
    <w:rPr>
      <w:rFonts w:ascii="Wingdings" w:hAnsi="Wingdings" w:cs="Wingdings"/>
      <w:sz w:val="20"/>
    </w:rPr>
  </w:style>
  <w:style w:type="character" w:styleId="WW8Num17z0">
    <w:name w:val="WW8Num17z0"/>
    <w:qFormat/>
    <w:rPr>
      <w:rFonts w:ascii="Symbol" w:hAnsi="Symbol" w:cs="Symbol"/>
      <w:sz w:val="20"/>
    </w:rPr>
  </w:style>
  <w:style w:type="character" w:styleId="WW8Num17z1">
    <w:name w:val="WW8Num17z1"/>
    <w:qFormat/>
    <w:rPr>
      <w:rFonts w:ascii="Courier New" w:hAnsi="Courier New" w:cs="Courier New"/>
      <w:sz w:val="20"/>
    </w:rPr>
  </w:style>
  <w:style w:type="character" w:styleId="WW8Num17z2">
    <w:name w:val="WW8Num17z2"/>
    <w:qFormat/>
    <w:rPr>
      <w:rFonts w:ascii="Wingdings" w:hAnsi="Wingdings" w:cs="Wingdings"/>
      <w:sz w:val="20"/>
    </w:rPr>
  </w:style>
  <w:style w:type="character" w:styleId="WW8Num18z0">
    <w:name w:val="WW8Num18z0"/>
    <w:qFormat/>
    <w:rPr>
      <w:rFonts w:ascii="Symbol" w:hAnsi="Symbol" w:cs="Symbol"/>
      <w:sz w:val="20"/>
    </w:rPr>
  </w:style>
  <w:style w:type="character" w:styleId="WW8Num18z1">
    <w:name w:val="WW8Num18z1"/>
    <w:qFormat/>
    <w:rPr>
      <w:rFonts w:ascii="Courier New" w:hAnsi="Courier New" w:cs="Courier New"/>
      <w:sz w:val="20"/>
    </w:rPr>
  </w:style>
  <w:style w:type="character" w:styleId="WW8Num18z2">
    <w:name w:val="WW8Num18z2"/>
    <w:qFormat/>
    <w:rPr>
      <w:rFonts w:ascii="Wingdings" w:hAnsi="Wingdings" w:cs="Wingdings"/>
      <w:sz w:val="20"/>
    </w:rPr>
  </w:style>
  <w:style w:type="character" w:styleId="WW8Num19z0">
    <w:name w:val="WW8Num19z0"/>
    <w:qFormat/>
    <w:rPr>
      <w:rFonts w:ascii="Arial" w:hAnsi="Arial" w:eastAsia="Times New Roman" w:cs="Arial"/>
    </w:rPr>
  </w:style>
  <w:style w:type="character" w:styleId="WW8Num19z1">
    <w:name w:val="WW8Num19z1"/>
    <w:qFormat/>
    <w:rPr>
      <w:rFonts w:ascii="Courier New" w:hAnsi="Courier New" w:cs="Courier New"/>
      <w:sz w:val="20"/>
    </w:rPr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Symbol" w:hAnsi="Symbol" w:cs="Symbol"/>
      <w:sz w:val="20"/>
    </w:rPr>
  </w:style>
  <w:style w:type="character" w:styleId="WW8Num22z1">
    <w:name w:val="WW8Num22z1"/>
    <w:qFormat/>
    <w:rPr>
      <w:rFonts w:ascii="Courier New" w:hAnsi="Courier New" w:cs="Courier New"/>
      <w:sz w:val="20"/>
    </w:rPr>
  </w:style>
  <w:style w:type="character" w:styleId="WW8Num22z2">
    <w:name w:val="WW8Num22z2"/>
    <w:qFormat/>
    <w:rPr>
      <w:rFonts w:ascii="Wingdings" w:hAnsi="Wingdings" w:cs="Wingdings"/>
      <w:sz w:val="20"/>
    </w:rPr>
  </w:style>
  <w:style w:type="character" w:styleId="WW8Num23z0">
    <w:name w:val="WW8Num23z0"/>
    <w:qFormat/>
    <w:rPr>
      <w:rFonts w:ascii="Symbol" w:hAnsi="Symbol" w:cs="Symbol"/>
      <w:sz w:val="20"/>
    </w:rPr>
  </w:style>
  <w:style w:type="character" w:styleId="WW8Num23z1">
    <w:name w:val="WW8Num23z1"/>
    <w:qFormat/>
    <w:rPr>
      <w:rFonts w:ascii="Courier New" w:hAnsi="Courier New" w:cs="Courier New"/>
      <w:sz w:val="20"/>
    </w:rPr>
  </w:style>
  <w:style w:type="character" w:styleId="WW8Num23z2">
    <w:name w:val="WW8Num23z2"/>
    <w:qFormat/>
    <w:rPr>
      <w:rFonts w:ascii="Wingdings" w:hAnsi="Wingdings" w:cs="Wingdings"/>
      <w:sz w:val="20"/>
    </w:rPr>
  </w:style>
  <w:style w:type="character" w:styleId="WW8Num24z0">
    <w:name w:val="WW8Num24z0"/>
    <w:qFormat/>
    <w:rPr>
      <w:rFonts w:ascii="Symbol" w:hAnsi="Symbol" w:cs="Symbol"/>
      <w:sz w:val="20"/>
    </w:rPr>
  </w:style>
  <w:style w:type="character" w:styleId="WW8Num24z1">
    <w:name w:val="WW8Num24z1"/>
    <w:qFormat/>
    <w:rPr>
      <w:rFonts w:ascii="Courier New" w:hAnsi="Courier New" w:cs="Courier New"/>
      <w:sz w:val="20"/>
    </w:rPr>
  </w:style>
  <w:style w:type="character" w:styleId="WW8Num24z2">
    <w:name w:val="WW8Num24z2"/>
    <w:qFormat/>
    <w:rPr>
      <w:rFonts w:ascii="Wingdings" w:hAnsi="Wingdings" w:cs="Wingdings"/>
      <w:sz w:val="20"/>
    </w:rPr>
  </w:style>
  <w:style w:type="character" w:styleId="WW8Num25z0">
    <w:name w:val="WW8Num25z0"/>
    <w:qFormat/>
    <w:rPr>
      <w:rFonts w:ascii="Symbol" w:hAnsi="Symbol" w:cs="Symbol"/>
      <w:sz w:val="20"/>
    </w:rPr>
  </w:style>
  <w:style w:type="character" w:styleId="WW8Num25z1">
    <w:name w:val="WW8Num25z1"/>
    <w:qFormat/>
    <w:rPr>
      <w:rFonts w:ascii="Courier New" w:hAnsi="Courier New" w:cs="Courier New"/>
      <w:sz w:val="20"/>
    </w:rPr>
  </w:style>
  <w:style w:type="character" w:styleId="WW8Num25z2">
    <w:name w:val="WW8Num25z2"/>
    <w:qFormat/>
    <w:rPr>
      <w:rFonts w:ascii="Wingdings" w:hAnsi="Wingdings" w:cs="Wingdings"/>
      <w:sz w:val="20"/>
    </w:rPr>
  </w:style>
  <w:style w:type="character" w:styleId="WW8Num26z0">
    <w:name w:val="WW8Num26z0"/>
    <w:qFormat/>
    <w:rPr>
      <w:rFonts w:ascii="Symbol" w:hAnsi="Symbol" w:cs="Symbol"/>
      <w:sz w:val="20"/>
    </w:rPr>
  </w:style>
  <w:style w:type="character" w:styleId="WW8Num26z1">
    <w:name w:val="WW8Num26z1"/>
    <w:qFormat/>
    <w:rPr>
      <w:rFonts w:ascii="Courier New" w:hAnsi="Courier New" w:cs="Courier New"/>
      <w:sz w:val="20"/>
    </w:rPr>
  </w:style>
  <w:style w:type="character" w:styleId="WW8Num26z2">
    <w:name w:val="WW8Num26z2"/>
    <w:qFormat/>
    <w:rPr>
      <w:rFonts w:ascii="Wingdings" w:hAnsi="Wingdings" w:cs="Wingdings"/>
      <w:sz w:val="20"/>
    </w:rPr>
  </w:style>
  <w:style w:type="character" w:styleId="WW8Num27z0">
    <w:name w:val="WW8Num27z0"/>
    <w:qFormat/>
    <w:rPr>
      <w:rFonts w:ascii="Symbol" w:hAnsi="Symbol" w:cs="Symbol"/>
      <w:sz w:val="20"/>
    </w:rPr>
  </w:style>
  <w:style w:type="character" w:styleId="WW8Num27z1">
    <w:name w:val="WW8Num27z1"/>
    <w:qFormat/>
    <w:rPr>
      <w:rFonts w:ascii="Courier New" w:hAnsi="Courier New" w:cs="Courier New"/>
      <w:sz w:val="20"/>
    </w:rPr>
  </w:style>
  <w:style w:type="character" w:styleId="WW8Num27z2">
    <w:name w:val="WW8Num27z2"/>
    <w:qFormat/>
    <w:rPr>
      <w:rFonts w:ascii="Wingdings" w:hAnsi="Wingdings" w:cs="Wingdings"/>
      <w:sz w:val="20"/>
    </w:rPr>
  </w:style>
  <w:style w:type="character" w:styleId="WW8Num28z0">
    <w:name w:val="WW8Num28z0"/>
    <w:qFormat/>
    <w:rPr>
      <w:rFonts w:ascii="Symbol" w:hAnsi="Symbol" w:cs="Symbol"/>
      <w:sz w:val="20"/>
    </w:rPr>
  </w:style>
  <w:style w:type="character" w:styleId="WW8Num28z1">
    <w:name w:val="WW8Num28z1"/>
    <w:qFormat/>
    <w:rPr>
      <w:rFonts w:ascii="Courier New" w:hAnsi="Courier New" w:cs="Courier New"/>
      <w:sz w:val="20"/>
    </w:rPr>
  </w:style>
  <w:style w:type="character" w:styleId="WW8Num28z2">
    <w:name w:val="WW8Num28z2"/>
    <w:qFormat/>
    <w:rPr>
      <w:rFonts w:ascii="Wingdings" w:hAnsi="Wingdings" w:cs="Wingdings"/>
      <w:sz w:val="20"/>
    </w:rPr>
  </w:style>
  <w:style w:type="character" w:styleId="WW8Num29z0">
    <w:name w:val="WW8Num29z0"/>
    <w:qFormat/>
    <w:rPr>
      <w:rFonts w:ascii="Symbol" w:hAnsi="Symbol" w:cs="Symbol"/>
      <w:sz w:val="20"/>
    </w:rPr>
  </w:style>
  <w:style w:type="character" w:styleId="WW8Num29z1">
    <w:name w:val="WW8Num29z1"/>
    <w:qFormat/>
    <w:rPr>
      <w:rFonts w:ascii="Courier New" w:hAnsi="Courier New" w:cs="Courier New"/>
      <w:sz w:val="20"/>
    </w:rPr>
  </w:style>
  <w:style w:type="character" w:styleId="WW8Num29z2">
    <w:name w:val="WW8Num29z2"/>
    <w:qFormat/>
    <w:rPr>
      <w:rFonts w:ascii="Wingdings" w:hAnsi="Wingdings" w:cs="Wingdings"/>
      <w:sz w:val="20"/>
    </w:rPr>
  </w:style>
  <w:style w:type="character" w:styleId="WW8Num30z1">
    <w:name w:val="WW8Num30z1"/>
    <w:qFormat/>
    <w:rPr>
      <w:rFonts w:ascii="Courier New" w:hAnsi="Courier New" w:eastAsia="Courier New" w:cs="Courier New"/>
    </w:rPr>
  </w:style>
  <w:style w:type="character" w:styleId="WW8Num31z0">
    <w:name w:val="WW8Num31z0"/>
    <w:qFormat/>
    <w:rPr>
      <w:b w:val="false"/>
      <w:color w:val="0F1115"/>
      <w:sz w:val="20"/>
    </w:rPr>
  </w:style>
  <w:style w:type="character" w:styleId="WW8Num32z0">
    <w:name w:val="WW8Num32z0"/>
    <w:qFormat/>
    <w:rPr>
      <w:rFonts w:ascii="Symbol" w:hAnsi="Symbol" w:cs="Symbol"/>
      <w:sz w:val="20"/>
    </w:rPr>
  </w:style>
  <w:style w:type="character" w:styleId="WW8Num32z1">
    <w:name w:val="WW8Num32z1"/>
    <w:qFormat/>
    <w:rPr>
      <w:rFonts w:ascii="Courier New" w:hAnsi="Courier New" w:cs="Courier New"/>
      <w:sz w:val="20"/>
    </w:rPr>
  </w:style>
  <w:style w:type="character" w:styleId="WW8Num32z2">
    <w:name w:val="WW8Num32z2"/>
    <w:qFormat/>
    <w:rPr>
      <w:rFonts w:ascii="Wingdings" w:hAnsi="Wingdings" w:cs="Wingdings"/>
      <w:sz w:val="20"/>
    </w:rPr>
  </w:style>
  <w:style w:type="character" w:styleId="WW8Num34z0">
    <w:name w:val="WW8Num34z0"/>
    <w:qFormat/>
    <w:rPr>
      <w:rFonts w:ascii="Symbol" w:hAnsi="Symbol" w:cs="Symbol"/>
      <w:sz w:val="20"/>
    </w:rPr>
  </w:style>
  <w:style w:type="character" w:styleId="WW8Num34z1">
    <w:name w:val="WW8Num34z1"/>
    <w:qFormat/>
    <w:rPr>
      <w:rFonts w:ascii="Courier New" w:hAnsi="Courier New" w:cs="Courier New"/>
      <w:sz w:val="20"/>
    </w:rPr>
  </w:style>
  <w:style w:type="character" w:styleId="WW8Num34z2">
    <w:name w:val="WW8Num34z2"/>
    <w:qFormat/>
    <w:rPr>
      <w:rFonts w:ascii="Wingdings" w:hAnsi="Wingdings" w:cs="Wingdings"/>
      <w:sz w:val="20"/>
    </w:rPr>
  </w:style>
  <w:style w:type="character" w:styleId="WW8Num35z0">
    <w:name w:val="WW8Num35z0"/>
    <w:qFormat/>
    <w:rPr>
      <w:rFonts w:ascii="Symbol" w:hAnsi="Symbol" w:cs="Symbol"/>
      <w:sz w:val="20"/>
    </w:rPr>
  </w:style>
  <w:style w:type="character" w:styleId="WW8Num35z1">
    <w:name w:val="WW8Num35z1"/>
    <w:qFormat/>
    <w:rPr/>
  </w:style>
  <w:style w:type="character" w:styleId="WW8Num35z2">
    <w:name w:val="WW8Num35z2"/>
    <w:qFormat/>
    <w:rPr>
      <w:rFonts w:ascii="Wingdings" w:hAnsi="Wingdings" w:cs="Wingdings"/>
      <w:sz w:val="20"/>
    </w:rPr>
  </w:style>
  <w:style w:type="character" w:styleId="WW8Num36z0">
    <w:name w:val="WW8Num36z0"/>
    <w:qFormat/>
    <w:rPr>
      <w:rFonts w:ascii="Symbol" w:hAnsi="Symbol" w:cs="Symbol"/>
      <w:sz w:val="20"/>
    </w:rPr>
  </w:style>
  <w:style w:type="character" w:styleId="WW8Num36z1">
    <w:name w:val="WW8Num36z1"/>
    <w:qFormat/>
    <w:rPr>
      <w:rFonts w:ascii="Courier New" w:hAnsi="Courier New" w:cs="Courier New"/>
      <w:sz w:val="20"/>
    </w:rPr>
  </w:style>
  <w:style w:type="character" w:styleId="WW8Num36z2">
    <w:name w:val="WW8Num36z2"/>
    <w:qFormat/>
    <w:rPr>
      <w:rFonts w:ascii="Wingdings" w:hAnsi="Wingdings" w:cs="Wingdings"/>
      <w:sz w:val="20"/>
    </w:rPr>
  </w:style>
  <w:style w:type="character" w:styleId="WW8Num37z0">
    <w:name w:val="WW8Num37z0"/>
    <w:qFormat/>
    <w:rPr>
      <w:rFonts w:ascii="Symbol" w:hAnsi="Symbol" w:cs="Symbol"/>
      <w:sz w:val="20"/>
    </w:rPr>
  </w:style>
  <w:style w:type="character" w:styleId="WW8Num37z1">
    <w:name w:val="WW8Num37z1"/>
    <w:qFormat/>
    <w:rPr>
      <w:rFonts w:ascii="Courier New" w:hAnsi="Courier New" w:cs="Courier New"/>
      <w:sz w:val="20"/>
    </w:rPr>
  </w:style>
  <w:style w:type="character" w:styleId="WW8Num37z2">
    <w:name w:val="WW8Num37z2"/>
    <w:qFormat/>
    <w:rPr>
      <w:rFonts w:ascii="Wingdings" w:hAnsi="Wingdings" w:cs="Wingdings"/>
      <w:sz w:val="20"/>
    </w:rPr>
  </w:style>
  <w:style w:type="character" w:styleId="WW8Num38z0">
    <w:name w:val="WW8Num38z0"/>
    <w:qFormat/>
    <w:rPr>
      <w:rFonts w:ascii="Symbol" w:hAnsi="Symbol" w:cs="Symbol"/>
      <w:sz w:val="20"/>
    </w:rPr>
  </w:style>
  <w:style w:type="character" w:styleId="WW8Num38z1">
    <w:name w:val="WW8Num38z1"/>
    <w:qFormat/>
    <w:rPr>
      <w:rFonts w:ascii="Courier New" w:hAnsi="Courier New" w:cs="Courier New"/>
      <w:sz w:val="20"/>
    </w:rPr>
  </w:style>
  <w:style w:type="character" w:styleId="WW8Num38z2">
    <w:name w:val="WW8Num38z2"/>
    <w:qFormat/>
    <w:rPr>
      <w:rFonts w:ascii="Wingdings" w:hAnsi="Wingdings" w:cs="Wingdings"/>
      <w:sz w:val="20"/>
    </w:rPr>
  </w:style>
  <w:style w:type="character" w:styleId="WW8Num39z0">
    <w:name w:val="WW8Num39z0"/>
    <w:qFormat/>
    <w:rPr>
      <w:rFonts w:ascii="Arial" w:hAnsi="Arial" w:eastAsia="Arial" w:cs="Arial"/>
      <w:b/>
      <w:bCs/>
      <w:i w:val="false"/>
      <w:iCs w:val="false"/>
      <w:spacing w:val="-1"/>
      <w:w w:val="100"/>
      <w:sz w:val="22"/>
      <w:szCs w:val="22"/>
      <w:lang w:val="pt-PT" w:bidi="ar-SA"/>
    </w:rPr>
  </w:style>
  <w:style w:type="character" w:styleId="WW8Num39z1">
    <w:name w:val="WW8Num39z1"/>
    <w:qFormat/>
    <w:rPr>
      <w:rFonts w:ascii="Arial" w:hAnsi="Arial" w:eastAsia="Arial" w:cs="Arial"/>
      <w:b/>
      <w:bCs/>
      <w:i w:val="false"/>
      <w:iCs w:val="false"/>
      <w:spacing w:val="0"/>
      <w:w w:val="100"/>
      <w:sz w:val="22"/>
      <w:szCs w:val="22"/>
      <w:lang w:val="pt-PT" w:bidi="ar-SA"/>
    </w:rPr>
  </w:style>
  <w:style w:type="character" w:styleId="WW8Num39z2">
    <w:name w:val="WW8Num39z2"/>
    <w:qFormat/>
    <w:rPr>
      <w:rFonts w:ascii="Arial" w:hAnsi="Arial" w:eastAsia="Arial" w:cs="Arial"/>
      <w:b/>
      <w:bCs/>
      <w:i w:val="false"/>
      <w:iCs w:val="false"/>
      <w:spacing w:val="-3"/>
      <w:w w:val="100"/>
      <w:sz w:val="22"/>
      <w:szCs w:val="22"/>
      <w:lang w:val="pt-PT" w:bidi="ar-SA"/>
    </w:rPr>
  </w:style>
  <w:style w:type="character" w:styleId="WW8Num39z5">
    <w:name w:val="WW8Num39z5"/>
    <w:qFormat/>
    <w:rPr>
      <w:lang w:val="pt-PT" w:bidi="ar-SA"/>
    </w:rPr>
  </w:style>
  <w:style w:type="character" w:styleId="WW8Num40z0">
    <w:name w:val="WW8Num40z0"/>
    <w:qFormat/>
    <w:rPr>
      <w:rFonts w:ascii="Symbol" w:hAnsi="Symbol" w:cs="Symbol"/>
      <w:sz w:val="20"/>
    </w:rPr>
  </w:style>
  <w:style w:type="character" w:styleId="WW8Num40z1">
    <w:name w:val="WW8Num40z1"/>
    <w:qFormat/>
    <w:rPr>
      <w:rFonts w:ascii="Courier New" w:hAnsi="Courier New" w:cs="Courier New"/>
      <w:sz w:val="20"/>
    </w:rPr>
  </w:style>
  <w:style w:type="character" w:styleId="WW8Num40z2">
    <w:name w:val="WW8Num40z2"/>
    <w:qFormat/>
    <w:rPr>
      <w:rFonts w:ascii="Wingdings" w:hAnsi="Wingdings" w:cs="Wingdings"/>
      <w:sz w:val="20"/>
    </w:rPr>
  </w:style>
  <w:style w:type="character" w:styleId="WW8Num41z0">
    <w:name w:val="WW8Num41z0"/>
    <w:qFormat/>
    <w:rPr>
      <w:rFonts w:ascii="Symbol" w:hAnsi="Symbol" w:cs="Symbol"/>
      <w:sz w:val="20"/>
    </w:rPr>
  </w:style>
  <w:style w:type="character" w:styleId="WW8Num41z1">
    <w:name w:val="WW8Num41z1"/>
    <w:qFormat/>
    <w:rPr>
      <w:rFonts w:ascii="Courier New" w:hAnsi="Courier New" w:cs="Courier New"/>
      <w:sz w:val="20"/>
    </w:rPr>
  </w:style>
  <w:style w:type="character" w:styleId="WW8Num41z2">
    <w:name w:val="WW8Num41z2"/>
    <w:qFormat/>
    <w:rPr>
      <w:rFonts w:ascii="Wingdings" w:hAnsi="Wingdings" w:cs="Wingdings"/>
      <w:sz w:val="20"/>
    </w:rPr>
  </w:style>
  <w:style w:type="character" w:styleId="WW8Num42z0">
    <w:name w:val="WW8Num42z0"/>
    <w:qFormat/>
    <w:rPr>
      <w:rFonts w:ascii="Symbol" w:hAnsi="Symbol" w:cs="Symbol"/>
      <w:sz w:val="20"/>
    </w:rPr>
  </w:style>
  <w:style w:type="character" w:styleId="WW8Num42z1">
    <w:name w:val="WW8Num42z1"/>
    <w:qFormat/>
    <w:rPr>
      <w:rFonts w:ascii="Courier New" w:hAnsi="Courier New" w:cs="Courier New"/>
      <w:sz w:val="20"/>
    </w:rPr>
  </w:style>
  <w:style w:type="character" w:styleId="WW8Num42z2">
    <w:name w:val="WW8Num42z2"/>
    <w:qFormat/>
    <w:rPr>
      <w:rFonts w:ascii="Wingdings" w:hAnsi="Wingdings" w:cs="Wingdings"/>
      <w:sz w:val="20"/>
    </w:rPr>
  </w:style>
  <w:style w:type="character" w:styleId="WW8Num43z0">
    <w:name w:val="WW8Num43z0"/>
    <w:qFormat/>
    <w:rPr>
      <w:rFonts w:ascii="Symbol" w:hAnsi="Symbol" w:cs="Symbol"/>
      <w:sz w:val="20"/>
    </w:rPr>
  </w:style>
  <w:style w:type="character" w:styleId="WW8Num43z1">
    <w:name w:val="WW8Num43z1"/>
    <w:qFormat/>
    <w:rPr>
      <w:rFonts w:ascii="Courier New" w:hAnsi="Courier New" w:cs="Courier New"/>
      <w:sz w:val="20"/>
    </w:rPr>
  </w:style>
  <w:style w:type="character" w:styleId="WW8Num43z2">
    <w:name w:val="WW8Num43z2"/>
    <w:qFormat/>
    <w:rPr>
      <w:rFonts w:ascii="Wingdings" w:hAnsi="Wingdings" w:cs="Wingdings"/>
      <w:sz w:val="20"/>
    </w:rPr>
  </w:style>
  <w:style w:type="character" w:styleId="WW8Num44z0">
    <w:name w:val="WW8Num44z0"/>
    <w:qFormat/>
    <w:rPr>
      <w:rFonts w:ascii="Symbol" w:hAnsi="Symbol" w:cs="Symbol"/>
      <w:sz w:val="20"/>
    </w:rPr>
  </w:style>
  <w:style w:type="character" w:styleId="WW8Num44z1">
    <w:name w:val="WW8Num44z1"/>
    <w:qFormat/>
    <w:rPr>
      <w:rFonts w:ascii="Courier New" w:hAnsi="Courier New" w:cs="Courier New"/>
      <w:sz w:val="20"/>
    </w:rPr>
  </w:style>
  <w:style w:type="character" w:styleId="WW8Num44z2">
    <w:name w:val="WW8Num44z2"/>
    <w:qFormat/>
    <w:rPr>
      <w:rFonts w:ascii="Wingdings" w:hAnsi="Wingdings" w:cs="Wingdings"/>
      <w:sz w:val="20"/>
    </w:rPr>
  </w:style>
  <w:style w:type="character" w:styleId="WW8Num45z0">
    <w:name w:val="WW8Num45z0"/>
    <w:qFormat/>
    <w:rPr>
      <w:rFonts w:ascii="Symbol" w:hAnsi="Symbol" w:cs="Symbol"/>
      <w:sz w:val="20"/>
    </w:rPr>
  </w:style>
  <w:style w:type="character" w:styleId="WW8Num45z1">
    <w:name w:val="WW8Num45z1"/>
    <w:qFormat/>
    <w:rPr>
      <w:rFonts w:ascii="Courier New" w:hAnsi="Courier New" w:cs="Courier New"/>
      <w:sz w:val="20"/>
    </w:rPr>
  </w:style>
  <w:style w:type="character" w:styleId="WW8Num45z2">
    <w:name w:val="WW8Num45z2"/>
    <w:qFormat/>
    <w:rPr>
      <w:rFonts w:ascii="Wingdings" w:hAnsi="Wingdings" w:cs="Wingdings"/>
      <w:sz w:val="20"/>
    </w:rPr>
  </w:style>
  <w:style w:type="character" w:styleId="WW8Num46z0">
    <w:name w:val="WW8Num46z0"/>
    <w:qFormat/>
    <w:rPr>
      <w:rFonts w:ascii="Symbol" w:hAnsi="Symbol" w:cs="Symbol"/>
      <w:sz w:val="20"/>
    </w:rPr>
  </w:style>
  <w:style w:type="character" w:styleId="WW8Num46z1">
    <w:name w:val="WW8Num46z1"/>
    <w:qFormat/>
    <w:rPr>
      <w:rFonts w:ascii="Courier New" w:hAnsi="Courier New" w:cs="Courier New"/>
      <w:sz w:val="20"/>
    </w:rPr>
  </w:style>
  <w:style w:type="character" w:styleId="WW8Num46z2">
    <w:name w:val="WW8Num46z2"/>
    <w:qFormat/>
    <w:rPr>
      <w:rFonts w:ascii="Wingdings" w:hAnsi="Wingdings" w:cs="Wingdings"/>
      <w:sz w:val="20"/>
    </w:rPr>
  </w:style>
  <w:style w:type="character" w:styleId="WW8Num47z0">
    <w:name w:val="WW8Num47z0"/>
    <w:qFormat/>
    <w:rPr>
      <w:rFonts w:ascii="Symbol" w:hAnsi="Symbol" w:cs="Symbol"/>
      <w:sz w:val="20"/>
    </w:rPr>
  </w:style>
  <w:style w:type="character" w:styleId="WW8Num47z1">
    <w:name w:val="WW8Num47z1"/>
    <w:qFormat/>
    <w:rPr>
      <w:rFonts w:ascii="Courier New" w:hAnsi="Courier New" w:cs="Courier New"/>
      <w:sz w:val="20"/>
    </w:rPr>
  </w:style>
  <w:style w:type="character" w:styleId="WW8Num47z2">
    <w:name w:val="WW8Num47z2"/>
    <w:qFormat/>
    <w:rPr>
      <w:rFonts w:ascii="Wingdings" w:hAnsi="Wingdings" w:cs="Wingdings"/>
      <w:sz w:val="20"/>
    </w:rPr>
  </w:style>
  <w:style w:type="character" w:styleId="WW8Num48z0">
    <w:name w:val="WW8Num48z0"/>
    <w:qFormat/>
    <w:rPr>
      <w:rFonts w:ascii="Symbol" w:hAnsi="Symbol" w:cs="Symbol"/>
      <w:sz w:val="20"/>
    </w:rPr>
  </w:style>
  <w:style w:type="character" w:styleId="WW8Num48z1">
    <w:name w:val="WW8Num48z1"/>
    <w:qFormat/>
    <w:rPr>
      <w:rFonts w:ascii="Courier New" w:hAnsi="Courier New" w:cs="Courier New"/>
      <w:sz w:val="20"/>
    </w:rPr>
  </w:style>
  <w:style w:type="character" w:styleId="WW8Num48z2">
    <w:name w:val="WW8Num48z2"/>
    <w:qFormat/>
    <w:rPr>
      <w:rFonts w:ascii="Wingdings" w:hAnsi="Wingdings" w:cs="Wingdings"/>
      <w:sz w:val="20"/>
    </w:rPr>
  </w:style>
  <w:style w:type="character" w:styleId="WW8Num50z0">
    <w:name w:val="WW8Num50z0"/>
    <w:qFormat/>
    <w:rPr>
      <w:rFonts w:ascii="Symbol" w:hAnsi="Symbol" w:cs="Symbol"/>
      <w:sz w:val="20"/>
    </w:rPr>
  </w:style>
  <w:style w:type="character" w:styleId="WW8Num50z1">
    <w:name w:val="WW8Num50z1"/>
    <w:qFormat/>
    <w:rPr>
      <w:rFonts w:ascii="Courier New" w:hAnsi="Courier New" w:cs="Courier New"/>
      <w:sz w:val="20"/>
    </w:rPr>
  </w:style>
  <w:style w:type="character" w:styleId="WW8Num50z2">
    <w:name w:val="WW8Num50z2"/>
    <w:qFormat/>
    <w:rPr>
      <w:rFonts w:ascii="Wingdings" w:hAnsi="Wingdings" w:cs="Wingdings"/>
      <w:sz w:val="20"/>
    </w:rPr>
  </w:style>
  <w:style w:type="character" w:styleId="WW8Num51z0">
    <w:name w:val="WW8Num51z0"/>
    <w:qFormat/>
    <w:rPr>
      <w:rFonts w:ascii="Symbol" w:hAnsi="Symbol" w:cs="Symbol"/>
      <w:sz w:val="20"/>
    </w:rPr>
  </w:style>
  <w:style w:type="character" w:styleId="WW8Num51z1">
    <w:name w:val="WW8Num51z1"/>
    <w:qFormat/>
    <w:rPr>
      <w:rFonts w:ascii="Courier New" w:hAnsi="Courier New" w:cs="Courier New"/>
      <w:sz w:val="20"/>
    </w:rPr>
  </w:style>
  <w:style w:type="character" w:styleId="WW8Num51z2">
    <w:name w:val="WW8Num51z2"/>
    <w:qFormat/>
    <w:rPr>
      <w:rFonts w:ascii="Wingdings" w:hAnsi="Wingdings" w:cs="Wingdings"/>
      <w:sz w:val="20"/>
    </w:rPr>
  </w:style>
  <w:style w:type="character" w:styleId="Fontepargpadro">
    <w:name w:val="Fonte parág. padrão"/>
    <w:qFormat/>
    <w:rPr/>
  </w:style>
  <w:style w:type="character" w:styleId="WW8Num3z2">
    <w:name w:val="WW8Num3z2"/>
    <w:qFormat/>
    <w:rPr>
      <w:b/>
    </w:rPr>
  </w:style>
  <w:style w:type="character" w:styleId="DefaultParagraphFont1">
    <w:name w:val="Default Paragraph Font1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WW-Absatz-Standardschriftart111111">
    <w:name w:val="WW-Absatz-Standardschriftart111111"/>
    <w:qFormat/>
    <w:rPr/>
  </w:style>
  <w:style w:type="character" w:styleId="WW8Num3z0">
    <w:name w:val="WW8Num3z0"/>
    <w:qFormat/>
    <w:rPr>
      <w:rFonts w:ascii="Symbol" w:hAnsi="Symbol" w:cs="OpenSymbol"/>
    </w:rPr>
  </w:style>
  <w:style w:type="character" w:styleId="WW8Num4z0">
    <w:name w:val="WW8Num4z0"/>
    <w:qFormat/>
    <w:rPr>
      <w:b w:val="false"/>
    </w:rPr>
  </w:style>
  <w:style w:type="character" w:styleId="WW-Absatz-Standardschriftart1111111">
    <w:name w:val="WW-Absatz-Standardschriftart1111111"/>
    <w:qFormat/>
    <w:rPr/>
  </w:style>
  <w:style w:type="character" w:styleId="WW8Num5z0">
    <w:name w:val="WW8Num5z0"/>
    <w:qFormat/>
    <w:rPr>
      <w:b w:val="false"/>
    </w:rPr>
  </w:style>
  <w:style w:type="character" w:styleId="Fontepargpadro4">
    <w:name w:val="Fonte parág. padrão4"/>
    <w:qFormat/>
    <w:rPr/>
  </w:style>
  <w:style w:type="character" w:styleId="Fontepargpadro3">
    <w:name w:val="Fonte parág. padrão3"/>
    <w:qFormat/>
    <w:rPr/>
  </w:style>
  <w:style w:type="character" w:styleId="WW8Num2z2">
    <w:name w:val="WW8Num2z2"/>
    <w:qFormat/>
    <w:rPr>
      <w:b/>
    </w:rPr>
  </w:style>
  <w:style w:type="character" w:styleId="Fontepargpadro2">
    <w:name w:val="Fonte parág. padrão2"/>
    <w:qFormat/>
    <w:rPr/>
  </w:style>
  <w:style w:type="character" w:styleId="WW8Num4z2">
    <w:name w:val="WW8Num4z2"/>
    <w:qFormat/>
    <w:rPr>
      <w:b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Marlett" w:hAnsi="Marlett" w:cs="Marlett"/>
    </w:rPr>
  </w:style>
  <w:style w:type="character" w:styleId="WW8Num33z0">
    <w:name w:val="WW8Num33z0"/>
    <w:qFormat/>
    <w:rPr>
      <w:rFonts w:ascii="Symbol" w:hAnsi="Symbol" w:cs="Symbol"/>
    </w:rPr>
  </w:style>
  <w:style w:type="character" w:styleId="Fontepargpadro1">
    <w:name w:val="Fonte parág. padrão1"/>
    <w:qFormat/>
    <w:rPr/>
  </w:style>
  <w:style w:type="character" w:styleId="PageNumber">
    <w:name w:val="Page Number"/>
    <w:basedOn w:val="Fontepargpadro1"/>
    <w:rPr/>
  </w:style>
  <w:style w:type="character" w:styleId="CharChar3">
    <w:name w:val=" Char Char3"/>
    <w:qFormat/>
    <w:rPr>
      <w:sz w:val="24"/>
    </w:rPr>
  </w:style>
  <w:style w:type="character" w:styleId="CharChar2">
    <w:name w:val=" Char Char2"/>
    <w:qFormat/>
    <w:rPr>
      <w:rFonts w:ascii="Tahoma" w:hAnsi="Tahoma" w:cs="Tahoma"/>
      <w:sz w:val="16"/>
      <w:szCs w:val="16"/>
    </w:rPr>
  </w:style>
  <w:style w:type="character" w:styleId="CharChar4">
    <w:name w:val=" Char Char4"/>
    <w:qFormat/>
    <w:rPr>
      <w:rFonts w:ascii="Calibri" w:hAnsi="Calibri" w:eastAsia="Times New Roman" w:cs="Times New Roman"/>
      <w:sz w:val="24"/>
      <w:szCs w:val="24"/>
    </w:rPr>
  </w:style>
  <w:style w:type="character" w:styleId="CharChar1">
    <w:name w:val=" Char Char1"/>
    <w:basedOn w:val="Fontepargpadro1"/>
    <w:qFormat/>
    <w:rPr/>
  </w:style>
  <w:style w:type="character" w:styleId="CharChar">
    <w:name w:val=" Char Char"/>
    <w:qFormat/>
    <w:rPr>
      <w:lang w:val="pt-PT"/>
    </w:rPr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FootnoteCharacters">
    <w:name w:val="Footnote Characters"/>
    <w:qFormat/>
    <w:rPr>
      <w:vertAlign w:val="superscript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citation-754">
    <w:name w:val="citation-754"/>
    <w:qFormat/>
    <w:rPr/>
  </w:style>
  <w:style w:type="character" w:styleId="citation-753">
    <w:name w:val="citation-753"/>
    <w:qFormat/>
    <w:rPr/>
  </w:style>
  <w:style w:type="character" w:styleId="citation-752">
    <w:name w:val="citation-752"/>
    <w:qFormat/>
    <w:rPr/>
  </w:style>
  <w:style w:type="character" w:styleId="citation-751">
    <w:name w:val="citation-751"/>
    <w:qFormat/>
    <w:rPr/>
  </w:style>
  <w:style w:type="character" w:styleId="citation-750">
    <w:name w:val="citation-750"/>
    <w:qFormat/>
    <w:rPr/>
  </w:style>
  <w:style w:type="character" w:styleId="citation-749">
    <w:name w:val="citation-749"/>
    <w:qFormat/>
    <w:rPr/>
  </w:style>
  <w:style w:type="character" w:styleId="citation-748">
    <w:name w:val="citation-748"/>
    <w:qFormat/>
    <w:rPr/>
  </w:style>
  <w:style w:type="character" w:styleId="citation-747">
    <w:name w:val="citation-747"/>
    <w:qFormat/>
    <w:rPr/>
  </w:style>
  <w:style w:type="character" w:styleId="citation-746">
    <w:name w:val="citation-746"/>
    <w:qFormat/>
    <w:rPr/>
  </w:style>
  <w:style w:type="character" w:styleId="citation-745">
    <w:name w:val="citation-745"/>
    <w:qFormat/>
    <w:rPr/>
  </w:style>
  <w:style w:type="character" w:styleId="citation-744">
    <w:name w:val="citation-744"/>
    <w:qFormat/>
    <w:rPr/>
  </w:style>
  <w:style w:type="character" w:styleId="citation-743">
    <w:name w:val="citation-743"/>
    <w:qFormat/>
    <w:rPr/>
  </w:style>
  <w:style w:type="character" w:styleId="citation-742">
    <w:name w:val="citation-742"/>
    <w:qFormat/>
    <w:rPr/>
  </w:style>
  <w:style w:type="character" w:styleId="citation-741">
    <w:name w:val="citation-741"/>
    <w:qFormat/>
    <w:rPr/>
  </w:style>
  <w:style w:type="character" w:styleId="citation-740">
    <w:name w:val="citation-740"/>
    <w:qFormat/>
    <w:rPr/>
  </w:style>
  <w:style w:type="character" w:styleId="citation-739">
    <w:name w:val="citation-739"/>
    <w:qFormat/>
    <w:rPr/>
  </w:style>
  <w:style w:type="character" w:styleId="citation-738">
    <w:name w:val="citation-738"/>
    <w:qFormat/>
    <w:rPr/>
  </w:style>
  <w:style w:type="character" w:styleId="citation-737">
    <w:name w:val="citation-737"/>
    <w:qFormat/>
    <w:rPr/>
  </w:style>
  <w:style w:type="character" w:styleId="citation-736">
    <w:name w:val="citation-736"/>
    <w:qFormat/>
    <w:rPr/>
  </w:style>
  <w:style w:type="character" w:styleId="citation-735">
    <w:name w:val="citation-735"/>
    <w:qFormat/>
    <w:rPr/>
  </w:style>
  <w:style w:type="character" w:styleId="citation-734">
    <w:name w:val="citation-734"/>
    <w:qFormat/>
    <w:rPr/>
  </w:style>
  <w:style w:type="character" w:styleId="citation-733">
    <w:name w:val="citation-733"/>
    <w:qFormat/>
    <w:rPr/>
  </w:style>
  <w:style w:type="character" w:styleId="citation-732">
    <w:name w:val="citation-732"/>
    <w:qFormat/>
    <w:rPr/>
  </w:style>
  <w:style w:type="character" w:styleId="citation-731">
    <w:name w:val="citation-731"/>
    <w:qFormat/>
    <w:rPr/>
  </w:style>
  <w:style w:type="character" w:styleId="citation-1176">
    <w:name w:val="citation-1176"/>
    <w:qFormat/>
    <w:rPr/>
  </w:style>
  <w:style w:type="character" w:styleId="citation-1175">
    <w:name w:val="citation-1175"/>
    <w:qFormat/>
    <w:rPr/>
  </w:style>
  <w:style w:type="character" w:styleId="citation-1174">
    <w:name w:val="citation-1174"/>
    <w:qFormat/>
    <w:rPr/>
  </w:style>
  <w:style w:type="character" w:styleId="citation-1173">
    <w:name w:val="citation-1173"/>
    <w:qFormat/>
    <w:rPr/>
  </w:style>
  <w:style w:type="character" w:styleId="citation-1172">
    <w:name w:val="citation-1172"/>
    <w:qFormat/>
    <w:rPr/>
  </w:style>
  <w:style w:type="character" w:styleId="citation-1171">
    <w:name w:val="citation-1171"/>
    <w:qFormat/>
    <w:rPr/>
  </w:style>
  <w:style w:type="character" w:styleId="citation-1170">
    <w:name w:val="citation-1170"/>
    <w:qFormat/>
    <w:rPr/>
  </w:style>
  <w:style w:type="character" w:styleId="citation-1169">
    <w:name w:val="citation-1169"/>
    <w:qFormat/>
    <w:rPr/>
  </w:style>
  <w:style w:type="character" w:styleId="citation-1168">
    <w:name w:val="citation-1168"/>
    <w:qFormat/>
    <w:rPr/>
  </w:style>
  <w:style w:type="character" w:styleId="citation-1167">
    <w:name w:val="citation-1167"/>
    <w:qFormat/>
    <w:rPr/>
  </w:style>
  <w:style w:type="character" w:styleId="citation-1166">
    <w:name w:val="citation-1166"/>
    <w:qFormat/>
    <w:rPr/>
  </w:style>
  <w:style w:type="character" w:styleId="citation-1165">
    <w:name w:val="citation-1165"/>
    <w:qFormat/>
    <w:rPr/>
  </w:style>
  <w:style w:type="character" w:styleId="citation-1164">
    <w:name w:val="citation-1164"/>
    <w:qFormat/>
    <w:rPr/>
  </w:style>
  <w:style w:type="character" w:styleId="citation-1163">
    <w:name w:val="citation-1163"/>
    <w:qFormat/>
    <w:rPr/>
  </w:style>
  <w:style w:type="character" w:styleId="citation-1162">
    <w:name w:val="citation-1162"/>
    <w:qFormat/>
    <w:rPr/>
  </w:style>
  <w:style w:type="character" w:styleId="citation-1161">
    <w:name w:val="citation-1161"/>
    <w:qFormat/>
    <w:rPr/>
  </w:style>
  <w:style w:type="character" w:styleId="citation-1160">
    <w:name w:val="citation-1160"/>
    <w:qFormat/>
    <w:rPr/>
  </w:style>
  <w:style w:type="character" w:styleId="citation-1159">
    <w:name w:val="citation-1159"/>
    <w:qFormat/>
    <w:rPr/>
  </w:style>
  <w:style w:type="character" w:styleId="citation-1158">
    <w:name w:val="citation-1158"/>
    <w:qFormat/>
    <w:rPr/>
  </w:style>
  <w:style w:type="character" w:styleId="citation-1157">
    <w:name w:val="citation-1157"/>
    <w:qFormat/>
    <w:rPr/>
  </w:style>
  <w:style w:type="character" w:styleId="citation-1156">
    <w:name w:val="citation-1156"/>
    <w:qFormat/>
    <w:rPr/>
  </w:style>
  <w:style w:type="character" w:styleId="citation-1155">
    <w:name w:val="citation-1155"/>
    <w:qFormat/>
    <w:rPr/>
  </w:style>
  <w:style w:type="character" w:styleId="citation-1154">
    <w:name w:val="citation-1154"/>
    <w:qFormat/>
    <w:rPr/>
  </w:style>
  <w:style w:type="character" w:styleId="citation-1153">
    <w:name w:val="citation-1153"/>
    <w:qFormat/>
    <w:rPr/>
  </w:style>
  <w:style w:type="character" w:styleId="citation-1152">
    <w:name w:val="citation-1152"/>
    <w:qFormat/>
    <w:rPr/>
  </w:style>
  <w:style w:type="character" w:styleId="citation-1151">
    <w:name w:val="citation-1151"/>
    <w:qFormat/>
    <w:rPr/>
  </w:style>
  <w:style w:type="character" w:styleId="citation-1150">
    <w:name w:val="citation-1150"/>
    <w:qFormat/>
    <w:rPr/>
  </w:style>
  <w:style w:type="character" w:styleId="citation-1149">
    <w:name w:val="citation-1149"/>
    <w:qFormat/>
    <w:rPr/>
  </w:style>
  <w:style w:type="character" w:styleId="citation-1358">
    <w:name w:val="citation-1358"/>
    <w:qFormat/>
    <w:rPr/>
  </w:style>
  <w:style w:type="character" w:styleId="citation-1357">
    <w:name w:val="citation-1357"/>
    <w:qFormat/>
    <w:rPr/>
  </w:style>
  <w:style w:type="character" w:styleId="citation-1356">
    <w:name w:val="citation-1356"/>
    <w:qFormat/>
    <w:rPr/>
  </w:style>
  <w:style w:type="character" w:styleId="citation-1355">
    <w:name w:val="citation-1355"/>
    <w:qFormat/>
    <w:rPr/>
  </w:style>
  <w:style w:type="character" w:styleId="citation-1354">
    <w:name w:val="citation-1354"/>
    <w:qFormat/>
    <w:rPr/>
  </w:style>
  <w:style w:type="character" w:styleId="citation-1353">
    <w:name w:val="citation-1353"/>
    <w:qFormat/>
    <w:rPr/>
  </w:style>
  <w:style w:type="character" w:styleId="citation-1388">
    <w:name w:val="citation-1388"/>
    <w:qFormat/>
    <w:rPr/>
  </w:style>
  <w:style w:type="character" w:styleId="citation-1387">
    <w:name w:val="citation-1387"/>
    <w:qFormat/>
    <w:rPr/>
  </w:style>
  <w:style w:type="character" w:styleId="citation-1386">
    <w:name w:val="citation-1386"/>
    <w:qFormat/>
    <w:rPr/>
  </w:style>
  <w:style w:type="character" w:styleId="citation-1385">
    <w:name w:val="citation-1385"/>
    <w:qFormat/>
    <w:rPr/>
  </w:style>
  <w:style w:type="character" w:styleId="citation-1384">
    <w:name w:val="citation-1384"/>
    <w:qFormat/>
    <w:rPr/>
  </w:style>
  <w:style w:type="character" w:styleId="citation-1383">
    <w:name w:val="citation-1383"/>
    <w:qFormat/>
    <w:rPr/>
  </w:style>
  <w:style w:type="character" w:styleId="t286pc">
    <w:name w:val="t286pc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4"/>
    </w:rPr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tulo4">
    <w:name w:val="Título4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Legenda4">
    <w:name w:val="Legenda4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Tahoma"/>
    </w:rPr>
  </w:style>
  <w:style w:type="paragraph" w:styleId="Ttulo3">
    <w:name w:val="Título3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Legenda3">
    <w:name w:val="Legenda3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Ttulo2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Legenda2">
    <w:name w:val="Legenda2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Legenda1">
    <w:name w:val="Legenda1"/>
    <w:basedOn w:val="Normal"/>
    <w:next w:val="Normal"/>
    <w:qFormat/>
    <w:pPr/>
    <w:rPr>
      <w:b/>
      <w:sz w:val="16"/>
    </w:rPr>
  </w:style>
  <w:style w:type="paragraph" w:styleId="A0817077">
    <w:name w:val="_A0817077"/>
    <w:basedOn w:val="Normal"/>
    <w:qFormat/>
    <w:pPr>
      <w:widowControl w:val="false"/>
      <w:ind w:firstLine="2304" w:start="2304" w:end="288"/>
      <w:jc w:val="both"/>
    </w:pPr>
    <w:rPr>
      <w:sz w:val="24"/>
    </w:rPr>
  </w:style>
  <w:style w:type="paragraph" w:styleId="NORMA">
    <w:name w:val="NORMA"/>
    <w:basedOn w:val="A0817077"/>
    <w:qFormat/>
    <w:pPr>
      <w:ind w:hanging="0" w:start="0" w:end="288"/>
      <w:jc w:val="star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widowControl w:val="false"/>
      <w:tabs>
        <w:tab w:val="clear" w:pos="708"/>
        <w:tab w:val="center" w:pos="4252" w:leader="none"/>
        <w:tab w:val="right" w:pos="8504" w:leader="none"/>
      </w:tabs>
    </w:pPr>
    <w:rPr>
      <w:sz w:val="24"/>
    </w:rPr>
  </w:style>
  <w:style w:type="paragraph" w:styleId="Corpodetexto31">
    <w:name w:val="Corpo de texto 31"/>
    <w:basedOn w:val="Normal"/>
    <w:qFormat/>
    <w:pPr>
      <w:jc w:val="both"/>
    </w:pPr>
    <w:rPr>
      <w:color w:val="000000"/>
      <w:sz w:val="24"/>
    </w:rPr>
  </w:style>
  <w:style w:type="paragraph" w:styleId="Textoembloco1">
    <w:name w:val="Texto em bloco1"/>
    <w:basedOn w:val="Normal"/>
    <w:qFormat/>
    <w:pPr>
      <w:ind w:hanging="0" w:start="567" w:end="141"/>
      <w:jc w:val="both"/>
    </w:pPr>
    <w:rPr>
      <w:sz w:val="24"/>
    </w:rPr>
  </w:style>
  <w:style w:type="paragraph" w:styleId="Corpodetexto21">
    <w:name w:val="Corpo de texto 21"/>
    <w:basedOn w:val="Normal"/>
    <w:qFormat/>
    <w:pPr/>
    <w:rPr>
      <w:sz w:val="24"/>
    </w:rPr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PADRAO">
    <w:name w:val="PADRAO"/>
    <w:basedOn w:val="Normal"/>
    <w:qFormat/>
    <w:pPr>
      <w:widowControl w:val="false"/>
      <w:ind w:firstLine="1008" w:start="1008" w:end="288"/>
      <w:jc w:val="both"/>
    </w:pPr>
    <w:rPr>
      <w:sz w:val="24"/>
    </w:rPr>
  </w:style>
  <w:style w:type="paragraph" w:styleId="A080807">
    <w:name w:val="_A080807"/>
    <w:basedOn w:val="Normal"/>
    <w:qFormat/>
    <w:pPr>
      <w:widowControl w:val="false"/>
      <w:ind w:firstLine="1008" w:start="1008" w:end="288"/>
      <w:jc w:val="both"/>
    </w:pPr>
    <w:rPr>
      <w:sz w:val="24"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PargrafodaLista">
    <w:name w:val="Parágrafo da Lista"/>
    <w:basedOn w:val="Normal"/>
    <w:qFormat/>
    <w:pPr>
      <w:ind w:hanging="0" w:start="708" w:end="0"/>
    </w:pPr>
    <w:rPr>
      <w:sz w:val="24"/>
      <w:szCs w:val="24"/>
      <w:lang w:val="en-US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FootnoteText">
    <w:name w:val="Footnote Text"/>
    <w:basedOn w:val="Normal"/>
    <w:pPr/>
    <w:rPr>
      <w:lang w:val="pt-PT"/>
    </w:rPr>
  </w:style>
  <w:style w:type="paragraph" w:styleId="Recuodecorpodetexto21">
    <w:name w:val="Recuo de corpo de texto 21"/>
    <w:basedOn w:val="Normal"/>
    <w:qFormat/>
    <w:pPr>
      <w:spacing w:lineRule="auto" w:line="480" w:before="0" w:after="120"/>
      <w:ind w:hanging="0" w:start="283" w:end="0"/>
    </w:pPr>
    <w:rPr/>
  </w:style>
  <w:style w:type="paragraph" w:styleId="Contedodetabela">
    <w:name w:val="Conteúdo de tabela"/>
    <w:basedOn w:val="Normal"/>
    <w:qFormat/>
    <w:pPr>
      <w:suppressLineNumbers/>
    </w:pPr>
    <w:rPr/>
  </w:style>
  <w:style w:type="paragraph" w:styleId="Ttulodetabela">
    <w:name w:val="Título de tabela"/>
    <w:basedOn w:val="Contedodetabela"/>
    <w:qFormat/>
    <w:pPr>
      <w:suppressLineNumbers/>
      <w:jc w:val="center"/>
    </w:pPr>
    <w:rPr>
      <w:b/>
      <w:bCs/>
    </w:rPr>
  </w:style>
  <w:style w:type="paragraph" w:styleId="Body">
    <w:name w:val="Body"/>
    <w:basedOn w:val="Normal"/>
    <w:qFormat/>
    <w:pPr>
      <w:suppressAutoHyphens w:val="false"/>
      <w:spacing w:before="120" w:after="120"/>
      <w:ind w:hanging="0" w:start="1296" w:end="0"/>
    </w:pPr>
    <w:rPr>
      <w:szCs w:val="20"/>
      <w:lang w:val="en-GB"/>
    </w:rPr>
  </w:style>
  <w:style w:type="paragraph" w:styleId="NormalWeb">
    <w:name w:val="Normal (Web)"/>
    <w:basedOn w:val="Normal"/>
    <w:qFormat/>
    <w:pPr>
      <w:spacing w:before="280" w:after="280"/>
    </w:pPr>
    <w:rPr>
      <w:rFonts w:ascii="Arial Unicode MS;Arial" w:hAnsi="Arial Unicode MS;Arial" w:eastAsia="Arial Unicode MS;Arial" w:cs="Arial Unicode MS;Arial"/>
    </w:rPr>
  </w:style>
  <w:style w:type="paragraph" w:styleId="PadroLTGliederung1">
    <w:name w:val="Padrão~LT~Gliederung 1"/>
    <w:qFormat/>
    <w:pPr>
      <w:widowControl w:val="false"/>
      <w:tabs>
        <w:tab w:val="clear" w:pos="708"/>
        <w:tab w:val="left" w:pos="900" w:leader="none"/>
        <w:tab w:val="left" w:pos="2340" w:leader="none"/>
        <w:tab w:val="left" w:pos="3780" w:leader="none"/>
        <w:tab w:val="left" w:pos="5220" w:leader="none"/>
        <w:tab w:val="left" w:pos="6660" w:leader="none"/>
        <w:tab w:val="left" w:pos="8100" w:leader="none"/>
        <w:tab w:val="left" w:pos="9540" w:leader="none"/>
        <w:tab w:val="left" w:pos="10980" w:leader="none"/>
        <w:tab w:val="left" w:pos="12420" w:leader="none"/>
        <w:tab w:val="left" w:pos="13860" w:leader="none"/>
        <w:tab w:val="left" w:pos="15300" w:leader="none"/>
      </w:tabs>
      <w:suppressAutoHyphens w:val="true"/>
      <w:autoSpaceDE w:val="false"/>
      <w:bidi w:val="0"/>
      <w:spacing w:lineRule="atLeast" w:line="100" w:before="0" w:after="400"/>
    </w:pPr>
    <w:rPr>
      <w:rFonts w:ascii="Tahoma" w:hAnsi="Tahoma" w:eastAsia="Tahoma" w:cs="Tahoma"/>
      <w:b/>
      <w:bCs/>
      <w:color w:val="010000"/>
      <w:sz w:val="32"/>
      <w:szCs w:val="32"/>
      <w:lang w:val="pt-BR" w:bidi="hi-IN" w:eastAsia="zh-CN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Times New Roman" w:cs="Calibri"/>
      <w:color w:val="000000"/>
      <w:sz w:val="24"/>
      <w:szCs w:val="24"/>
      <w:lang w:val="pt-BR" w:bidi="ar-SA" w:eastAsia="zh-CN"/>
    </w:rPr>
  </w:style>
  <w:style w:type="paragraph" w:styleId="Legenda">
    <w:name w:val="Legenda"/>
    <w:basedOn w:val="Normal"/>
    <w:next w:val="Normal"/>
    <w:qFormat/>
    <w:pPr/>
    <w:rPr>
      <w:b/>
      <w:bCs/>
    </w:rPr>
  </w:style>
  <w:style w:type="paragraph" w:styleId="ds-markdown-paragraph">
    <w:name w:val="ds-markdown-paragraph"/>
    <w:basedOn w:val="Normal"/>
    <w:qFormat/>
    <w:pPr>
      <w:suppressAutoHyphens w:val="false"/>
      <w:spacing w:before="100" w:after="100"/>
    </w:pPr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2026-04-24T06:39:00Z</dcterms:created>
  <dc:creator>Suportehw</dc:creator>
  <dc:description/>
  <cp:keywords/>
  <dc:language>en-US</dc:language>
  <cp:lastModifiedBy>Arlesson Azevedo</cp:lastModifiedBy>
  <cp:lastPrinted>2025-07-24T04:36:00Z</cp:lastPrinted>
  <dcterms:modified xsi:type="dcterms:W3CDTF">2026-10-10T23:34:00Z</dcterms:modified>
  <cp:revision>263</cp:revision>
  <dc:subject/>
  <dc:title>TÍTULO:</dc:title>
</cp:coreProperties>
</file>