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KYNAKEE PLATFORM</w:t>
      </w:r>
    </w:p>
    <w:p>
      <w:pPr>
        <w:spacing w:after="100" w:before="0"/>
        <w:jc w:val="center"/>
      </w:pPr>
      <w:r>
        <w:rPr>
          <w:b/>
          <w:bCs/>
          <w:color w:val="2E74B5"/>
          <w:sz w:val="28"/>
          <w:szCs w:val="28"/>
        </w:rPr>
        <w:t xml:space="preserve">Software Architecture Document (SAD)</w:t>
      </w:r>
    </w:p>
    <w:p>
      <w:pPr>
        <w:spacing w:after="80" w:before="0"/>
        <w:jc w:val="center"/>
      </w:pPr>
      <w:r>
        <w:rPr>
          <w:i/>
          <w:iCs/>
          <w:color w:val="595959"/>
          <w:sz w:val="24"/>
          <w:szCs w:val="24"/>
        </w:rPr>
        <w:t xml:space="preserve">Modular Monolith · DDD · CQRS · Event-Driven · .NET 10 · Next.js 15</w:t>
      </w:r>
    </w:p>
    <w:p>
      <w:pPr>
        <w:spacing w:after="400" w:before="0"/>
        <w:jc w:val="center"/>
      </w:pPr>
      <w:r>
        <w:rPr>
          <w:color w:val="9CA3AF"/>
          <w:sz w:val="20"/>
          <w:szCs w:val="20"/>
        </w:rPr>
        <w:t xml:space="preserve">v1.0 · 2026-08-20 · Confidential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toc" w:id="1"/>
      <w:r>
        <w:t xml:space="preserve">Table of Contents</w:t>
      </w:r>
      <w:bookmarkEnd w:id="1"/>
    </w:p>
    <w:p>
      <w:pPr>
        <w:spacing w:after="40" w:before="40"/>
      </w:pPr>
      <w:hyperlink w:history="1" w:anchor="s1">
        <w:r>
          <w:rPr>
            <w:rStyle w:val="Hyperlink"/>
            <w:sz w:val="22"/>
            <w:szCs w:val="22"/>
          </w:rPr>
          <w:t xml:space="preserve">1. Document Purpose and Scope</w:t>
        </w:r>
      </w:hyperlink>
    </w:p>
    <w:p>
      <w:pPr>
        <w:spacing w:after="40" w:before="40"/>
      </w:pPr>
      <w:hyperlink w:history="1" w:anchor="s2">
        <w:r>
          <w:rPr>
            <w:rStyle w:val="Hyperlink"/>
            <w:sz w:val="22"/>
            <w:szCs w:val="22"/>
          </w:rPr>
          <w:t xml:space="preserve">2. Architectural Goals and Constraints</w:t>
        </w:r>
      </w:hyperlink>
    </w:p>
    <w:p>
      <w:pPr>
        <w:spacing w:after="40" w:before="40"/>
      </w:pPr>
      <w:hyperlink w:history="1" w:anchor="s3">
        <w:r>
          <w:rPr>
            <w:rStyle w:val="Hyperlink"/>
            <w:sz w:val="22"/>
            <w:szCs w:val="22"/>
          </w:rPr>
          <w:t xml:space="preserve">3. System Context (C4 Level 1)</w:t>
        </w:r>
      </w:hyperlink>
    </w:p>
    <w:p>
      <w:pPr>
        <w:spacing w:after="40" w:before="40"/>
      </w:pPr>
      <w:hyperlink w:history="1" w:anchor="s4">
        <w:r>
          <w:rPr>
            <w:rStyle w:val="Hyperlink"/>
            <w:sz w:val="22"/>
            <w:szCs w:val="22"/>
          </w:rPr>
          <w:t xml:space="preserve">4. Container Architecture (C4 Level 2)</w:t>
        </w:r>
      </w:hyperlink>
    </w:p>
    <w:p>
      <w:pPr>
        <w:spacing w:after="40" w:before="40"/>
      </w:pPr>
      <w:hyperlink w:history="1" w:anchor="s5">
        <w:r>
          <w:rPr>
            <w:rStyle w:val="Hyperlink"/>
            <w:sz w:val="22"/>
            <w:szCs w:val="22"/>
          </w:rPr>
          <w:t xml:space="preserve">5. Component Architecture (C4 Level 3)</w:t>
        </w:r>
      </w:hyperlink>
    </w:p>
    <w:p>
      <w:pPr>
        <w:spacing w:after="40" w:before="40"/>
      </w:pPr>
      <w:hyperlink w:history="1" w:anchor="s6">
        <w:r>
          <w:rPr>
            <w:rStyle w:val="Hyperlink"/>
            <w:sz w:val="22"/>
            <w:szCs w:val="22"/>
          </w:rPr>
          <w:t xml:space="preserve">6. Module Architecture — 7 Bounded Contexts</w:t>
        </w:r>
      </w:hyperlink>
    </w:p>
    <w:p>
      <w:pPr>
        <w:spacing w:after="40" w:before="40"/>
      </w:pPr>
      <w:hyperlink w:history="1" w:anchor="s6-1">
        <w:r>
          <w:rPr>
            <w:rStyle w:val="Hyperlink"/>
            <w:sz w:val="22"/>
            <w:szCs w:val="22"/>
          </w:rPr>
          <w:t xml:space="preserve">   6.1 Projects Module (Core Domain)</w:t>
        </w:r>
      </w:hyperlink>
    </w:p>
    <w:p>
      <w:pPr>
        <w:spacing w:after="40" w:before="40"/>
      </w:pPr>
      <w:hyperlink w:history="1" w:anchor="s6-2">
        <w:r>
          <w:rPr>
            <w:rStyle w:val="Hyperlink"/>
            <w:sz w:val="22"/>
            <w:szCs w:val="22"/>
          </w:rPr>
          <w:t xml:space="preserve">   6.2 KnowledgeBase Module</w:t>
        </w:r>
      </w:hyperlink>
    </w:p>
    <w:p>
      <w:pPr>
        <w:spacing w:after="40" w:before="40"/>
      </w:pPr>
      <w:hyperlink w:history="1" w:anchor="s6-3">
        <w:r>
          <w:rPr>
            <w:rStyle w:val="Hyperlink"/>
            <w:sz w:val="22"/>
            <w:szCs w:val="22"/>
          </w:rPr>
          <w:t xml:space="preserve">   6.3 MCP Module</w:t>
        </w:r>
      </w:hyperlink>
    </w:p>
    <w:p>
      <w:pPr>
        <w:spacing w:after="40" w:before="40"/>
      </w:pPr>
      <w:hyperlink w:history="1" w:anchor="s6-4">
        <w:r>
          <w:rPr>
            <w:rStyle w:val="Hyperlink"/>
            <w:sz w:val="22"/>
            <w:szCs w:val="22"/>
          </w:rPr>
          <w:t xml:space="preserve">   6.4 AI Module</w:t>
        </w:r>
      </w:hyperlink>
    </w:p>
    <w:p>
      <w:pPr>
        <w:spacing w:after="40" w:before="40"/>
      </w:pPr>
      <w:hyperlink w:history="1" w:anchor="s6-5">
        <w:r>
          <w:rPr>
            <w:rStyle w:val="Hyperlink"/>
            <w:sz w:val="22"/>
            <w:szCs w:val="22"/>
          </w:rPr>
          <w:t xml:space="preserve">   6.5 Bots Module</w:t>
        </w:r>
      </w:hyperlink>
    </w:p>
    <w:p>
      <w:pPr>
        <w:spacing w:after="40" w:before="40"/>
      </w:pPr>
      <w:hyperlink w:history="1" w:anchor="s6-6">
        <w:r>
          <w:rPr>
            <w:rStyle w:val="Hyperlink"/>
            <w:sz w:val="22"/>
            <w:szCs w:val="22"/>
          </w:rPr>
          <w:t xml:space="preserve">   6.6 Billing Module</w:t>
        </w:r>
      </w:hyperlink>
    </w:p>
    <w:p>
      <w:pPr>
        <w:spacing w:after="40" w:before="40"/>
      </w:pPr>
      <w:hyperlink w:history="1" w:anchor="s6-7">
        <w:r>
          <w:rPr>
            <w:rStyle w:val="Hyperlink"/>
            <w:sz w:val="22"/>
            <w:szCs w:val="22"/>
          </w:rPr>
          <w:t xml:space="preserve">   6.7 Identity Module</w:t>
        </w:r>
      </w:hyperlink>
    </w:p>
    <w:p>
      <w:pPr>
        <w:spacing w:after="40" w:before="40"/>
      </w:pPr>
      <w:hyperlink w:history="1" w:anchor="s7">
        <w:r>
          <w:rPr>
            <w:rStyle w:val="Hyperlink"/>
            <w:sz w:val="22"/>
            <w:szCs w:val="22"/>
          </w:rPr>
          <w:t xml:space="preserve">7. Data Architecture</w:t>
        </w:r>
      </w:hyperlink>
    </w:p>
    <w:p>
      <w:pPr>
        <w:spacing w:after="40" w:before="40"/>
      </w:pPr>
      <w:hyperlink w:history="1" w:anchor="s8">
        <w:r>
          <w:rPr>
            <w:rStyle w:val="Hyperlink"/>
            <w:sz w:val="22"/>
            <w:szCs w:val="22"/>
          </w:rPr>
          <w:t xml:space="preserve">8. Integration Architecture</w:t>
        </w:r>
      </w:hyperlink>
    </w:p>
    <w:p>
      <w:pPr>
        <w:spacing w:after="40" w:before="40"/>
      </w:pPr>
      <w:hyperlink w:history="1" w:anchor="s9">
        <w:r>
          <w:rPr>
            <w:rStyle w:val="Hyperlink"/>
            <w:sz w:val="22"/>
            <w:szCs w:val="22"/>
          </w:rPr>
          <w:t xml:space="preserve">9. Security Architecture</w:t>
        </w:r>
      </w:hyperlink>
    </w:p>
    <w:p>
      <w:pPr>
        <w:spacing w:after="40" w:before="40"/>
      </w:pPr>
      <w:hyperlink w:history="1" w:anchor="s10">
        <w:r>
          <w:rPr>
            <w:rStyle w:val="Hyperlink"/>
            <w:sz w:val="22"/>
            <w:szCs w:val="22"/>
          </w:rPr>
          <w:t xml:space="preserve">10. Deployment Architecture</w:t>
        </w:r>
      </w:hyperlink>
    </w:p>
    <w:p>
      <w:pPr>
        <w:spacing w:after="40" w:before="40"/>
      </w:pPr>
      <w:hyperlink w:history="1" w:anchor="s11">
        <w:r>
          <w:rPr>
            <w:rStyle w:val="Hyperlink"/>
            <w:sz w:val="22"/>
            <w:szCs w:val="22"/>
          </w:rPr>
          <w:t xml:space="preserve">11. Observability Architecture</w:t>
        </w:r>
      </w:hyperlink>
    </w:p>
    <w:p>
      <w:pPr>
        <w:spacing w:after="40" w:before="40"/>
      </w:pPr>
      <w:hyperlink w:history="1" w:anchor="s12">
        <w:r>
          <w:rPr>
            <w:rStyle w:val="Hyperlink"/>
            <w:sz w:val="22"/>
            <w:szCs w:val="22"/>
          </w:rPr>
          <w:t xml:space="preserve">12. Resilience Architecture</w:t>
        </w:r>
      </w:hyperlink>
    </w:p>
    <w:p>
      <w:pPr>
        <w:spacing w:after="40" w:before="40"/>
      </w:pPr>
      <w:hyperlink w:history="1" w:anchor="s13">
        <w:r>
          <w:rPr>
            <w:rStyle w:val="Hyperlink"/>
            <w:sz w:val="22"/>
            <w:szCs w:val="22"/>
          </w:rPr>
          <w:t xml:space="preserve">13. AI Architecture</w:t>
        </w:r>
      </w:hyperlink>
    </w:p>
    <w:p>
      <w:pPr>
        <w:spacing w:after="40" w:before="40"/>
      </w:pPr>
      <w:hyperlink w:history="1" w:anchor="s14">
        <w:r>
          <w:rPr>
            <w:rStyle w:val="Hyperlink"/>
            <w:sz w:val="22"/>
            <w:szCs w:val="22"/>
          </w:rPr>
          <w:t xml:space="preserve">14. Quality Attributes (Non-Functional Requirements)</w:t>
        </w:r>
      </w:hyperlink>
    </w:p>
    <w:p>
      <w:pPr>
        <w:spacing w:after="40" w:before="40"/>
      </w:pPr>
      <w:hyperlink w:history="1" w:anchor="s15">
        <w:r>
          <w:rPr>
            <w:rStyle w:val="Hyperlink"/>
            <w:sz w:val="22"/>
            <w:szCs w:val="22"/>
          </w:rPr>
          <w:t xml:space="preserve">15. Technology Decisions Summary</w:t>
        </w:r>
      </w:hyperlink>
    </w:p>
    <w:p>
      <w:r>
        <w:br w:type="page"/>
      </w:r>
    </w:p>
    <w:p>
      <w:pPr>
        <w:pStyle w:val="Heading1"/>
      </w:pPr>
      <w:bookmarkStart w:name="s1" w:id="1"/>
      <w:r>
        <w:t xml:space="preserve">1. Document Purpose and Scope</w:t>
      </w:r>
      <w:bookmarkEnd w:id="1"/>
    </w:p>
    <w:p>
      <w:r>
        <w:rPr>
          <w:sz w:val="22"/>
          <w:szCs w:val="22"/>
        </w:rPr>
        <w:t xml:space="preserve">This Software Architecture Document (SAD) describes the complete technical architecture of the Kynakee platform — an AI-powered construction budget generation system. It serves as the authoritative reference for all development decisions and is designed to enable GitHub Copilot-assisted development with minimal ambiguity.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Scope: </w:t>
      </w:r>
      <w:r>
        <w:rPr>
          <w:sz w:val="22"/>
          <w:szCs w:val="22"/>
        </w:rPr>
        <w:t xml:space="preserve">Kynakee v1.0 MVP — Modular Monolith deployed on Hetzner Cloud. Covers all 7 modules, 9 operational phases, AI integration, MCP provider network, bot channels, billing, and identity.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Attribute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Architecture Style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Modular Monolith with Vertical Slice Architecture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Domain Approach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Domain-Driven Design (DDD) — Tactical Patterns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Communication (sync)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REST via YARP Reverse Proxy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Communication (async)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RabbitMQ via MassTransit + Outbox Pattern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Primary Language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.NET 10 (C#) + Next.js 15 (TypeScript)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Database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PostgreSQL 17 (relational) + Qdrant (vector)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Infrastructure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Docker on Hetzner Cloud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Target Environments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Development (local) · Staging (Hetzner) · Production (Hetzner)</w:t>
            </w:r>
          </w:p>
        </w:tc>
      </w:tr>
    </w:tbl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2" w:id="1"/>
      <w:r>
        <w:t xml:space="preserve">2. Architectural Goals and Constraints</w:t>
      </w:r>
      <w:bookmarkEnd w:id="1"/>
    </w:p>
    <w:p>
      <w:pPr>
        <w:pStyle w:val="Heading2"/>
      </w:pPr>
      <w:r>
        <w:t xml:space="preserve">Quality Attribute Goals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Quality Attribute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Target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Architectural Decision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Maintainability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Modular Monolith + Vertical Slice + DDD. Each module extractable to microservice.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Vertical first, horizontal later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Single Docker container. Scale vertically on Hetzner before horizontal.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99.5% uptime (staging/prod)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Polly resilience policies. MassTransit Outbox. Hangfire retry.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Multi-tenant isolation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Row-Level Security via TenantId. JWT via YARP. EF Core global query filters.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Full tracing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Serilog + OpenTelemetry. CorrelationId on every request.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AI Compliance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AI Act Art. 4,12,13,14,50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AgentRun audit trail. Mandatory human review (Phase 7). Transparency disclosures.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Developer Experience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GitHub Copilot-ready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Consistent patterns. ADRs. Copilot instructions file.</w:t>
            </w:r>
          </w:p>
        </w:tc>
      </w:tr>
    </w:tbl>
    <w:p>
      <w:pPr>
        <w:pStyle w:val="Heading2"/>
      </w:pPr>
      <w:r>
        <w:t xml:space="preserve">Constraints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Team: 1 .NET developer + GitHub Copilot. Architecture must be manageable by a single developer.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Timeline: 1-month MVP. No time for microservices complexity.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Budget: Cost-optimized. Hetzner CX21 (~€4.5/month). No expensive managed services.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AI Act compliance mandatory from day 1 (Art. 4, 12, 13, 14, 50 already enforceable).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Multi-tenant from day 1. No single-tenant shortcuts.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Multi-region from day 1. Architecture must support EU + LATAM without redesign.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3" w:id="1"/>
      <w:r>
        <w:t xml:space="preserve">3. System Context (C4 Level 1)</w:t>
      </w:r>
      <w:bookmarkEnd w:id="1"/>
    </w:p>
    <w:p>
      <w:r>
        <w:rPr>
          <w:sz w:val="22"/>
          <w:szCs w:val="22"/>
        </w:rPr>
        <w:t xml:space="preserve">The Kynakee platform sits at the center of a network of external actors and systems. The following describes all external interactions.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External Actor/System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Interaction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Protocol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Reformador (end user)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Creates projects, captures evidence, reviews results, receives offers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HTTPS (Web App), WhatsApp, Telegram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WhatsApp (Meta Cloud API)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Receives/sends bot messages. Webhook for incoming messages.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HTTPS webhooks + Meta Graph API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Telegram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Receives/sends bot messages. Webhook for incoming messages.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HTTPS webhooks + Telegram Bot API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DeepSeek API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LLM calls for APU generation, scope extraction, planning, offers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HTTPS REST (OpenAI-compatible)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Google Gemini API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LLM fallback + text embeddings (768d) for KnowledgeBase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HTTPS REST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Google Gemma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Lightweight LLM for bot conversations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HTTPS REST or local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OpenAI API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Premium vision + embedding fallback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HTTPS REST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MCP Provider Network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Price queries for materials, equipment, transport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HTTPS + JSON-RPC 2.0 (MCP protocol)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Stripe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Payment processing, subscriptions, webhooks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HTTPS REST + Stripe SDK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Cloudflare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DNS, CDN, DDoS protection, geo-routing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DNS + HTTPS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Let's Encrypt (via Traefik)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SSL certificate provisioning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ACME protocol</w:t>
            </w:r>
          </w:p>
        </w:tc>
      </w:tr>
    </w:tbl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4" w:id="1"/>
      <w:r>
        <w:t xml:space="preserve">4. Container Architecture (C4 Level 2)</w:t>
      </w:r>
      <w:bookmarkEnd w:id="1"/>
    </w:p>
    <w:p>
      <w:r>
        <w:rPr>
          <w:sz w:val="22"/>
          <w:szCs w:val="22"/>
        </w:rPr>
        <w:t xml:space="preserve">The Kynakee system is composed of the following Docker containers, all orchestrated via Docker Compose on Hetzner Cloud.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Container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Technology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kynakee-api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ASP.NET Core 10 (.NET 10)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YARP gateway + all 7 modules. Single deployable unit. Port 8080.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kynakee-web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Next.js 15 (Node.js)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React frontend. App Router. Server + Client Components. Port 3000.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postgres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PostgreSQL 17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Primary relational database. All 8 module schemas. Port 5432.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qdrant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Qdrant 1.x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Vector database for KnowledgeBase module. Port 6333.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redis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Redis 7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Distributed cache, session store, rate limiting. Port 6379.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rabbitmq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RabbitMQ 3.13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Message broker for integration events. Ports 5672, 15672.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traefik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Traefik 3.x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Reverse proxy, SSL termination, Let's Encrypt. Ports 80, 443.</w:t>
            </w:r>
          </w:p>
        </w:tc>
      </w:tr>
    </w:tbl>
    <w:p>
      <w:pPr>
        <w:pStyle w:val="Heading2"/>
      </w:pPr>
      <w:r>
        <w:t xml:space="preserve">Container Communication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Browser/Bot Client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↓ HTTPS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Traefik (SSL termination)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↓ HTTP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kynakee-api (YARP Gateway)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├── Internal: Routes to module handlers (in-process)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├── PostgreSQL: EF Core (TCP 5432)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├── Qdrant: HTTP REST (6333)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├── Redis: StackExchange.Redis (6379)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├── RabbitMQ: MassTransit AMQP (5672)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├── DeepSeek/Gemini/OpenAI: HTTPS (external)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└── MCP Providers: HTTPS JSON-RPC (external)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kynakee-web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└── kynakee-api: HTTPS REST + SignalR WebSocket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5" w:id="1"/>
      <w:r>
        <w:t xml:space="preserve">5. Component Architecture (C4 Level 3)</w:t>
      </w:r>
      <w:bookmarkEnd w:id="1"/>
    </w:p>
    <w:p>
      <w:r>
        <w:rPr>
          <w:sz w:val="22"/>
          <w:szCs w:val="22"/>
        </w:rPr>
        <w:t xml:space="preserve">Inside the kynakee-api container, the following components interact via in-process calls (MediatR) and async events (MassTransit).</w:t>
      </w:r>
    </w:p>
    <w:p>
      <w:pPr>
        <w:pStyle w:val="Heading2"/>
      </w:pPr>
      <w:r>
        <w:t xml:space="preserve">YARP Gateway Layer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Incoming Request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↓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YARP Reverse Proxy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├── JWT Validation Middleware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├── Rate Limiting Middleware (Redis)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├── Correlation ID Middleware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├── Request Logging Middleware (Serilog)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└── Route to Module Endpoint</w:t>
      </w:r>
    </w:p>
    <w:p>
      <w:pPr>
        <w:pStyle w:val="Heading2"/>
      </w:pPr>
      <w:r>
        <w:t xml:space="preserve">Module Request Pipeline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Module Minimal API Endpoint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↓ dispatch via MediatR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MediatR Pipeline Behaviors (in order):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1. LoggingBehavior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2. ValidationBehavior (FluentValidation)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3. TenantIsolationBehavior (inject TenantId from JWT)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4. TokenGateBehavior (reserve credits for AI commands)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5. TransactionBehavior (begin DB transaction for commands)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6. DomainEventDispatchBehavior (dispatch after commit)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↓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Command/Query Handler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├── Domain Logic (Project aggregate)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├── EF Core DbContext (PostgreSQL)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├── IKynakeeAgentService (AI module)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├── IMCPClient (MCP module)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└── MassTransit Outbox (integration events)</w:t>
      </w:r>
    </w:p>
    <w:p>
      <w:pPr>
        <w:pStyle w:val="Heading2"/>
      </w:pPr>
      <w:r>
        <w:t xml:space="preserve">Background Processing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MassTransit Outbox Processor (background)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└── Reads schema_shared.outbox_messages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└── Publishes to RabbitMQ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└── Marks as processed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MassTransit Consumers (background)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└── Subscribes to RabbitMQ queues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└── Handles integration events (idempotent)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Hangfire (background jobs)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└── Retry failed AI operations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└── Subscription renewal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└── Offer PDF generation retry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</w:pPr>
      <w:bookmarkStart w:name="s6" w:id="1"/>
      <w:r>
        <w:t xml:space="preserve">6. Module Architecture — 7 Bounded Contexts</w:t>
      </w:r>
      <w:bookmarkEnd w:id="1"/>
    </w:p>
    <w:p>
      <w:r>
        <w:rPr>
          <w:sz w:val="22"/>
          <w:szCs w:val="22"/>
        </w:rPr>
        <w:t xml:space="preserve">Each module is a self-contained vertical slice with its own domain model, application layer, infrastructure, and API endpoints. Modules communicate only via public interfaces or integration events.</w:t>
      </w:r>
    </w:p>
    <w:p>
      <w:pPr>
        <w:pStyle w:val="Heading2"/>
      </w:pPr>
      <w:r>
        <w:t xml:space="preserve">6.1 Projects Module (Core Domain)</w:t>
      </w:r>
    </w:p>
    <w:p>
      <w:bookmarkStart w:name="s6-1" w:id="1"/>
      <w:r>
        <w:t xml:space="preserve"/>
      </w:r>
      <w:bookmarkEnd w:id="1"/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Attribute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Core Domain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Aggregate Root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 (rich aggregate owning all 9 phase entities)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Schema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schema_projects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Key Commands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CreateProject, CompleteCapture, SetContext, AddWorkItem, AssignAPU, SetSchedule, SetValuation, ApproveReview, SetOffer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Key Queries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GetProject, GetProjectSummary, GetWorkItems, GetValuation, GetOffer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Integration Events Published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ProjectCreated, PhaseAdvanced, WorkItemAdded, APUGenerated, OfferGenerated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Integration Events Consumed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CreditsConsumed, CreditDepleted, MCPProviderFailed, BotMessageReceived</w:t>
            </w:r>
          </w:p>
        </w:tc>
      </w:tr>
    </w:tbl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Kynakee.Modules.Projects/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├── Domain/Aggregates/Project.cs          # Aggregate root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├── Domain/Entities/                      # 8 phase entities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├── Domain/ValueObjects/                  # Money, Confidence, etc.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├── Domain/Events/                        # 9 domain events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├── Domain/Services/                      # TokenGate, Confidence, Fallback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├── Application/Commands/                 # 9 phase commands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├── Application/Queries/                  # Read projections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├── Application/EventHandlers/            # Integration event consumers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├── Infrastructure/Persistence/           # EF Core, migrations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└── Api/Endpoints/                        # Minimal API</w:t>
      </w:r>
    </w:p>
    <w:p>
      <w:pPr>
        <w:pBdr>
          <w:left w:val="single" w:color="D97706" w:sz="8"/>
        </w:pBdr>
        <w:spacing w:after="80" w:before="80"/>
        <w:ind w:left="720"/>
      </w:pPr>
      <w:r>
        <w:rPr>
          <w:b/>
          <w:bCs/>
          <w:color w:val="D97706"/>
          <w:sz w:val="22"/>
          <w:szCs w:val="22"/>
        </w:rPr>
        <w:t xml:space="preserve">Critical Invariant: </w:t>
      </w:r>
      <w:r>
        <w:rPr>
          <w:sz w:val="22"/>
          <w:szCs w:val="22"/>
        </w:rPr>
        <w:t xml:space="preserve">Modifying a WorkItem automatically invalidates Valuation, Schedule, Review, and Offer. Enforced by Project.InvalidateDownstreamResults(). Never bypass this via direct DbContext access.</w:t>
      </w:r>
    </w:p>
    <w:p>
      <w:pPr>
        <w:pStyle w:val="Heading2"/>
      </w:pPr>
      <w:r>
        <w:t xml:space="preserve">6.2 KnowledgeBase Module</w:t>
      </w:r>
    </w:p>
    <w:p>
      <w:bookmarkStart w:name="s6-2" w:id="1"/>
      <w:r>
        <w:t xml:space="preserve"/>
      </w:r>
      <w:bookmarkEnd w:id="1"/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Attribute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Supporting Domain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Aggregates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APUTemplate, CanonicalConcept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Storage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PostgreSQL (schema_knowledge_base) + Qdrant (vector embeddings 768d)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Key Operations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SearchAPUTemplate, SaveAPUTemplate, SearchCanonicalConcept, GetTranslations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Integration Events Consumed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WorkItemAdded (triggers APU lookup), APUGenerated (saves new template)</w:t>
            </w:r>
          </w:p>
        </w:tc>
      </w:tr>
    </w:tbl>
    <w:p>
      <w:r>
        <w:rPr>
          <w:sz w:val="22"/>
          <w:szCs w:val="22"/>
        </w:rPr>
        <w:t xml:space="preserve">APUTemplate stores component structures with yields but NO prices. Prices are determined per-project in Phase 6. Qdrant stores 768d embeddings for semantic search across languages.</w:t>
      </w:r>
    </w:p>
    <w:p>
      <w:pPr>
        <w:pStyle w:val="Heading2"/>
      </w:pPr>
      <w:r>
        <w:t xml:space="preserve">6.3 MCP Module</w:t>
      </w:r>
    </w:p>
    <w:p>
      <w:bookmarkStart w:name="s6-3" w:id="1"/>
      <w:r>
        <w:t xml:space="preserve"/>
      </w:r>
      <w:bookmarkEnd w:id="1"/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Attribute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Supporting Domain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Aggregate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MCPProvider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Schema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schema_mcp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Protocol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HTTP + JSON-RPC 2.0 (MCP standard)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Resilience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Polly: 3 retries, circuit breaker (3 failures → suspend 30s), timeout 10s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Auto-suspension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Provider suspended after 3 consecutive failures. RecordSuccess() resets.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Integration Events Published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MCPProviderFailed</w:t>
            </w:r>
          </w:p>
        </w:tc>
      </w:tr>
    </w:tbl>
    <w:p>
      <w:r>
        <w:rPr>
          <w:sz w:val="22"/>
          <w:szCs w:val="22"/>
        </w:rPr>
        <w:t xml:space="preserve">The MCP module is a stateless price query service. It receives component queries from the Projects module and returns price data. It has no knowledge of Project state.</w:t>
      </w:r>
    </w:p>
    <w:p>
      <w:pPr>
        <w:pStyle w:val="Heading2"/>
      </w:pPr>
      <w:r>
        <w:t xml:space="preserve">6.4 AI Module</w:t>
      </w:r>
    </w:p>
    <w:p>
      <w:bookmarkStart w:name="s6-4" w:id="1"/>
      <w:r>
        <w:t xml:space="preserve"/>
      </w:r>
      <w:bookmarkEnd w:id="1"/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Attribute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Supporting Domain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Framework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Microsoft Agents Framework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Interface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IKynakeeAgentService (only entry point for AI from any module)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Agents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CaptureAgent, ScopeAgent, ProductionAgent, PlanningAgent, ValuationAgent, OfferAgent, ConversationAgent, EmbeddingService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Primary LLM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DeepSeek-V3 (deepseek-chat)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Vision/Conversation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Gemini Flash (gemini-2.0-flash)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Bot Conversation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Gemma 4 (lightweight, free)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Embeddings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Gemini text-embedding-004 (768d)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Universal Fallback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DeepSeek-V3 for all chat agents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Audit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AgentRun entity records every AI call (AI Act Art. 12)</w:t>
            </w:r>
          </w:p>
        </w:tc>
      </w:tr>
    </w:tbl>
    <w:p>
      <w:pPr>
        <w:pStyle w:val="Heading2"/>
      </w:pPr>
      <w:r>
        <w:t xml:space="preserve">6.5 Bots Module</w:t>
      </w:r>
    </w:p>
    <w:p>
      <w:bookmarkStart w:name="s6-5" w:id="1"/>
      <w:r>
        <w:t xml:space="preserve"/>
      </w:r>
      <w:bookmarkEnd w:id="1"/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Attribute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Supporting Domain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Channels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Telegram (Telegram.Bot NuGet) + WhatsApp (Meta Cloud API)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Aggregate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BotConversation (SPA — System of Project Active)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Schema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schema_bots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Webhook endpoints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POST /webhooks/telegram, POST /webhooks/whatsapp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Architecture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Thin translation layer. No business logic. Dispatches Project commands via MediatR.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Integration Events Published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BotMessageReceived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Integration Events Consumed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PhaseAdvanced, CreditDepleted, OfferGenerated</w:t>
            </w:r>
          </w:p>
        </w:tc>
      </w:tr>
    </w:tbl>
    <w:p>
      <w:pPr>
        <w:pStyle w:val="Heading2"/>
      </w:pPr>
      <w:r>
        <w:t xml:space="preserve">6.6 Billing Module</w:t>
      </w:r>
    </w:p>
    <w:p>
      <w:bookmarkStart w:name="s6-6" w:id="1"/>
      <w:r>
        <w:t xml:space="preserve"/>
      </w:r>
      <w:bookmarkEnd w:id="1"/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Attribute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Supporting Domain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Aggregates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CreditAccount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Entities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Subscription, CreditTransaction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Schema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schema_billing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Payment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Stripe SDK (.NET). Subscriptions + Payment Intents.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Credit Flow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Reserve() → Consume() on success | Release() on failure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Integration Events Published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CreditsConsumed, CreditDepleted, SubscriptionRenewed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Integration Events Consumed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ProjectCreated, PhaseAdvanced, TenantCreated</w:t>
            </w:r>
          </w:p>
        </w:tc>
      </w:tr>
    </w:tbl>
    <w:p>
      <w:pPr>
        <w:pStyle w:val="Heading2"/>
      </w:pPr>
      <w:r>
        <w:t xml:space="preserve">6.7 Identity Module</w:t>
      </w:r>
    </w:p>
    <w:p>
      <w:bookmarkStart w:name="s6-7" w:id="1"/>
      <w:r>
        <w:t xml:space="preserve"/>
      </w:r>
      <w:bookmarkEnd w:id="1"/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Attribute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Generic Subdomain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Aggregates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Tenant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Entities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User, TenantUser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Schema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schema_identity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Auth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ASP.NET Core Identity + JWT Bearer. Access: 15min. Refresh: 30 days.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Integration Events Published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TenantCreated, UserRegistered</w:t>
            </w:r>
          </w:p>
        </w:tc>
      </w:tr>
    </w:tbl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</w:pPr>
      <w:bookmarkStart w:name="s7" w:id="1"/>
      <w:r>
        <w:t xml:space="preserve">7. Data Architecture</w:t>
      </w:r>
      <w:bookmarkEnd w:id="1"/>
    </w:p>
    <w:p>
      <w:pPr>
        <w:pStyle w:val="Heading2"/>
      </w:pPr>
      <w:r>
        <w:t xml:space="preserve">PostgreSQL 17 — Schema Organization</w:t>
      </w:r>
    </w:p>
    <w:p>
      <w:r>
        <w:rPr>
          <w:sz w:val="22"/>
          <w:szCs w:val="22"/>
        </w:rPr>
        <w:t xml:space="preserve">Each module owns its own PostgreSQL schema. Cross-schema queries are FORBIDDEN. Modules access only their own schema via EF Core DbContext.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Schema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Module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Key Tables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schema_projects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projects, work_items, apu_assignments, schedules, valuations, reviews, offers, capture_expedients, project_contexts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schema_knowledge_base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KnowledgeBase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canonical_concepts, concept_translations, apu_templates, apu_template_components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schema_mcp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MCP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mcp_providers, mcp_query_logs, provider_ratings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schema_ai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AI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agent_runs, token_consumption_logs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schema_bots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Bots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bot_conversations, bot_messages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schema_billing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Billing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credit_accounts, credit_transactions, subscriptions, stripe_events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schema_identity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Identity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tenants, users, tenant_users, refresh_tokens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schema_shared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Shared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outbox_messages, inbox_messages, idempotency_keys</w:t>
            </w:r>
          </w:p>
        </w:tc>
      </w:tr>
    </w:tbl>
    <w:p>
      <w:pPr>
        <w:pStyle w:val="Heading2"/>
      </w:pPr>
      <w:r>
        <w:t xml:space="preserve">EF Core Configuration Rules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Code First ONLY. All changes via migrations. Never modify DB directly.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Soft deletes: IsDeleted + DeletedAt. Global query filter on all entities.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Optimistic concurrency: xmin (PostgreSQL row version) on aggregate roots.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Mandatory indexes: TenantId, CreatedAt, IsDeleted on every table.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AuditInterceptor auto-sets CreatedAt, UpdatedAt, CreatedBy, UpdatedBy, IsDeleted.</w:t>
      </w:r>
    </w:p>
    <w:p>
      <w:pPr>
        <w:pStyle w:val="Heading2"/>
      </w:pPr>
      <w:r>
        <w:t xml:space="preserve">Qdrant Vector Database</w:t>
      </w:r>
    </w:p>
    <w:p>
      <w:r>
        <w:rPr>
          <w:sz w:val="22"/>
          <w:szCs w:val="22"/>
        </w:rPr>
        <w:t xml:space="preserve">Qdrant is used exclusively by the KnowledgeBase module for semantic search of APU structures and canonical concepts.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Collection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Vector Dimensions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canonical_concepts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768d (Gemini text-embedding-004)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Semantic search of work item concepts across languages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apu_structures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768d (Gemini text-embedding-004)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Find similar APU templates by description and context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project_contexts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768d (Gemini text-embedding-004)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Match project context to relevant APU templates</w:t>
            </w:r>
          </w:p>
        </w:tc>
      </w:tr>
    </w:tbl>
    <w:p>
      <w:pPr>
        <w:pBdr>
          <w:left w:val="single" w:color="1F3864" w:sz="8"/>
        </w:pBdr>
        <w:spacing w:after="80" w:before="80"/>
        <w:ind w:left="720"/>
      </w:pPr>
      <w:r>
        <w:rPr>
          <w:b/>
          <w:bCs/>
          <w:color w:val="1F3864"/>
          <w:sz w:val="22"/>
          <w:szCs w:val="22"/>
        </w:rPr>
        <w:t xml:space="preserve">Privacy: </w:t>
      </w:r>
      <w:r>
        <w:rPr>
          <w:sz w:val="22"/>
          <w:szCs w:val="22"/>
        </w:rPr>
        <w:t xml:space="preserve">Qdrant stores ONLY anonymized technical data. No tenant-identifiable data, no client data, no pricing data. Compliant with GDPR and AI Act data governance requirements.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8" w:id="1"/>
      <w:r>
        <w:t xml:space="preserve">8. Integration Architecture</w:t>
      </w:r>
      <w:bookmarkEnd w:id="1"/>
    </w:p>
    <w:p>
      <w:pPr>
        <w:pStyle w:val="Heading2"/>
      </w:pPr>
      <w:r>
        <w:t xml:space="preserve">Synchronous Communication — REST</w:t>
      </w:r>
    </w:p>
    <w:p>
      <w:r>
        <w:rPr>
          <w:sz w:val="22"/>
          <w:szCs w:val="22"/>
        </w:rPr>
        <w:t xml:space="preserve">All external-facing APIs are REST over HTTPS, routed through YARP. Internal module communication is in-process via MediatR (no HTTP between modules).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External: HTTPS → Traefik → YARP → Module Endpoint → MediatR Handler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Internal: MediatR.Send(command) → Handler (in-process, same process)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NEVER: HttpClient between modules in the same process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ALWAYS: MediatR for in-process, RabbitMQ for cross-module async</w:t>
      </w:r>
    </w:p>
    <w:p>
      <w:pPr>
        <w:pStyle w:val="Heading2"/>
      </w:pPr>
      <w:r>
        <w:t xml:space="preserve">Asynchronous Communication — RabbitMQ + MassTransit</w:t>
      </w:r>
    </w:p>
    <w:p>
      <w:r>
        <w:rPr>
          <w:sz w:val="22"/>
          <w:szCs w:val="22"/>
        </w:rPr>
        <w:t xml:space="preserve">Integration events flow between modules via RabbitMQ. MassTransit provides the abstraction. The Outbox Pattern guarantees at-least-once delivery.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Publisher (Projects module):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1. Command handler commits DB transaction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2. Domain events dispatched in-process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3. Integration event written to schema_shared.outbox_messages (same transaction)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4. MassTransit Outbox Processor reads outbox and publishes to RabbitMQ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Consumer (Billing module):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1. MassTransit receives message from RabbitMQ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2. Check schema_shared.idempotency_keys (prevent duplicate processing)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3. Execute handler logic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4. Mark idempotency key as processed</w:t>
      </w:r>
    </w:p>
    <w:p>
      <w:pPr>
        <w:pStyle w:val="Heading2"/>
      </w:pPr>
      <w:r>
        <w:t xml:space="preserve">MCP Provider Integration</w:t>
      </w:r>
    </w:p>
    <w:p>
      <w:r>
        <w:rPr>
          <w:sz w:val="22"/>
          <w:szCs w:val="22"/>
        </w:rPr>
        <w:t xml:space="preserve">MCP Providers are external .NET servers deployed by the platform operator. Each provider has a unique subdomain and exposes a JSON-RPC 2.0 endpoint.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Kynakee MCP Client → HTTPS POST https://{subdomain}.kynakee.com/mcp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Request: { "jsonrpc": "2.0", "method": "queryPrice", "params": { ... }, "id": "uuid"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Response: { "jsonrpc": "2.0", "result": { "price": 28.50, "unit": "m2", ... }, "id": "uuid"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Polly policy: 3 retries (exponential backoff) + circuit breaker (3 failures → open 30s)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9" w:id="1"/>
      <w:r>
        <w:t xml:space="preserve">9. Security Architecture</w:t>
      </w:r>
      <w:bookmarkEnd w:id="1"/>
    </w:p>
    <w:p>
      <w:pPr>
        <w:pStyle w:val="Heading2"/>
      </w:pPr>
      <w:r>
        <w:t xml:space="preserve">Authentication Flow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POST /api/v1/identity/auth/login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→ Validate credentials (ASP.NET Core Identity)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→ Generate JWT (15 min) + Refresh Token (30 days)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→ Store Refresh Token in schema_identity.refresh_tokens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Subsequent requests: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→ Bearer JWT in Authorization header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→ YARP validates JWT signature + expiry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→ Injects TenantId, UserId, Role into request context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→ TenantIsolationBehavior (MediatR) sets ITenantContext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→ EF Core global query filter applies TenantId automatically</w:t>
      </w:r>
    </w:p>
    <w:p>
      <w:pPr>
        <w:pStyle w:val="Heading2"/>
      </w:pPr>
      <w:r>
        <w:t xml:space="preserve">Multi-Tenant Data Isolation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Every entity inherits BaseEntity&lt;TId&gt; with TenantId (MANDATORY).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EF Core global query filter: WHERE tenant_id = @tenantId AND is_deleted = false.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TenantIsolationBehavior in MediatR pipeline enforces TenantId on every command/query.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Cross-tenant queries FORBIDDEN. Admin bypass requires explicit IsAdmin = true claim.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Background jobs carry TenantId in job payload. Never infer from context.</w:t>
      </w:r>
    </w:p>
    <w:p>
      <w:pPr>
        <w:pStyle w:val="Heading2"/>
      </w:pPr>
      <w:r>
        <w:t xml:space="preserve">API Security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Control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JWT Bearer via YARP. All endpoints require valid JWT except /auth/* and /webhooks/*.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Authorization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Policy-based: CanCreateProject, CanEditWorkItems, CanGenerateOffer, CanManageUsers, CanManagePlan, CanViewOnly.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Rate Limiting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Per-tenant sliding window via Redis. Configurable per plan tier.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Input Validation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FluentValidation on all commands. YARP rejects malformed requests.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HTTPS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Traefik enforces HTTPS. HTTP redirected to HTTPS. HSTS enabled.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Secrets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No secrets in code or appsettings.json. .env files (gitignored). Vault for production.</w:t>
            </w:r>
          </w:p>
        </w:tc>
      </w:tr>
    </w:tbl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10" w:id="1"/>
      <w:r>
        <w:t xml:space="preserve">10. Deployment Architecture</w:t>
      </w:r>
      <w:bookmarkEnd w:id="1"/>
    </w:p>
    <w:p>
      <w:pPr>
        <w:pStyle w:val="Heading2"/>
      </w:pPr>
      <w:r>
        <w:t xml:space="preserve">Environment Strategy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560"/>
        <w:gridCol w:w="2340"/>
        <w:gridCol w:w="2340"/>
        <w:gridCol w:w="312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Environment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Infrastructure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Compose File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Key Differences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Development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Local Docker Desktop + NGrok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docker-compose.dev.yml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Hot reload, debug ports, NGrok for bot webhooks, no SSL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Staging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Hetzner CX21 (2 vCPU, 4GB)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docker-compose.staging.yml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Traefik SSL, real webhooks, anonymized data, mirrors prod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Production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Hetzner CX31+ (4 vCPU, 8GB)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docker-compose.prod.yml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HA, backups, full observability, resource limits, SSL</w:t>
            </w:r>
          </w:p>
        </w:tc>
      </w:tr>
    </w:tbl>
    <w:p>
      <w:pPr>
        <w:pStyle w:val="Heading2"/>
      </w:pPr>
      <w:r>
        <w:t xml:space="preserve">Production Docker Compose (key settings)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kynakee-api: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restart: unless-stopped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deploy: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resources: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limits: { cpus: "2.0", memory: "2G"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healthcheck: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test: ["CMD", "curl", "-f", "http://localhost:8080/health"]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interval: 30s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retries: 3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labels: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- "traefik.http.routers.api.rule=Host(`api.kynakee.com`)"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- "traefik.http.routers.api.tls.certresolver=letsencrypt"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postgres: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volumes: ["postgres_data:/var/lib/postgresql/data"]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environment: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POSTGRES_DB: kynakee_prod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POSTGRES_PASSWORD: ${POSTGRES_PASSWORD}</w:t>
      </w:r>
    </w:p>
    <w:p>
      <w:pPr>
        <w:pStyle w:val="Heading2"/>
      </w:pPr>
      <w:r>
        <w:t xml:space="preserve">Multi-Region Strategy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Initial deployment: Hetzner Falkenstein (EU, Germany). Covers Spain + EU market.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LATAM expansion: Hetzner Ashburn (US East) or partner DC in Mexico/Colombia.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PostgreSQL logical replication for read replicas in secondary regions.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Qdrant cluster mode when KnowledgeBase grows beyond single-node capacity.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DNS geo-routing via Cloudflare. Users routed to nearest region automatically.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No code changes required for multi-region. Configuration-only expansion.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11" w:id="1"/>
      <w:r>
        <w:t xml:space="preserve">11. Observability Architecture</w:t>
      </w:r>
      <w:bookmarkEnd w:id="1"/>
    </w:p>
    <w:p>
      <w:pPr>
        <w:pStyle w:val="Heading2"/>
      </w:pPr>
      <w:r>
        <w:t xml:space="preserve">Logging — Serilog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Mandatory context on every log entry: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using (LogContext.PushProperty("TenantId", tenantId))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using (LogContext.PushProperty("CorrelationId", correlationId))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using (LogContext.PushProperty("UserId", userId))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using (LogContext.PushProperty("ProjectId", projectId))  // when in project context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_logger.Information("Phase {Phase} advanced", phase);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Sinks: Console (JSON) + File (rolling daily)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Format: JSON structured logs for machine parsing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Retention: 30 days file rotation</w:t>
      </w:r>
    </w:p>
    <w:p>
      <w:pPr>
        <w:pStyle w:val="Heading2"/>
      </w:pPr>
      <w:r>
        <w:t xml:space="preserve">Tracing — OpenTelemetry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Distributed traces across YARP → Module → DB → External services.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CorrelationId propagated via X-Correlation-Id header to all downstream calls.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AI module traces include: Provider, Model, InputTokens, OutputTokens, Duration.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MCP module traces include: ProviderId, ComponentType, FallbackActivated, Confidence.</w:t>
      </w:r>
    </w:p>
    <w:p>
      <w:pPr>
        <w:pStyle w:val="Heading2"/>
      </w:pPr>
      <w:r>
        <w:t xml:space="preserve">Health Checks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GET /health          → Overall system health (used by Docker healthcheck)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GET /health/ready    → Readiness: DB + Redis + RabbitMQ connected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GET /health/live     → Liveness: process alive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Checks: PostgreSQL, Qdrant, Redis, RabbitMQ, AI providers (ping)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12" w:id="1"/>
      <w:r>
        <w:t xml:space="preserve">12. Resilience Architecture</w:t>
      </w:r>
      <w:bookmarkEnd w:id="1"/>
    </w:p>
    <w:p>
      <w:pPr>
        <w:pStyle w:val="Heading2"/>
      </w:pPr>
      <w:r>
        <w:t xml:space="preserve">Polly Policies per External Service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Service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Policies Applied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Configuration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AI Providers (DeepSeek, Gemini)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Timeout + Retry + Circuit Breaker + Fallback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Timeout: 30s. Retry: 3x exponential. CB: 5 failures → open 30s. Fallback: DeepSeek-V3.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MCP Providers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Timeout + Retry + Circuit Breaker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Timeout: 10s. Retry: 3x. CB: 3 failures → suspend provider.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Stripe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Timeout + Retry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Timeout: 15s. Retry: 3x exponential.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Bot APIs (Telegram, WhatsApp)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Timeout + Retry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Timeout: 10s. Retry: 3x with 10s intervals.</w:t>
            </w:r>
          </w:p>
        </w:tc>
      </w:tr>
    </w:tbl>
    <w:p>
      <w:pPr>
        <w:pStyle w:val="Heading2"/>
      </w:pPr>
      <w:r>
        <w:t xml:space="preserve">Phase Rollback Strategy</w:t>
      </w:r>
    </w:p>
    <w:p>
      <w:r>
        <w:rPr>
          <w:sz w:val="22"/>
          <w:szCs w:val="22"/>
        </w:rPr>
        <w:t xml:space="preserve">All 9 phase transitions are single transactions within the Project aggregate. No distributed rollback needed. The aggregate handles compensation internally.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On AI operation failure: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1. TokenGateBehavior.Release(operationId)  → credits returned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2. Project phase stays at current phase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3. User notified via Bot or Web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4. Retry available immediately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On MCP failure: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1. FallbackChainService activates next source (Cache → Internet)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2. Component marked with fallback indicator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3. Confidence level reduced accordingly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4. No credit charge for failed MCP query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13" w:id="1"/>
      <w:r>
        <w:t xml:space="preserve">13. AI Architecture</w:t>
      </w:r>
      <w:bookmarkEnd w:id="1"/>
    </w:p>
    <w:p>
      <w:pPr>
        <w:pStyle w:val="Heading2"/>
      </w:pPr>
      <w:r>
        <w:t xml:space="preserve">Two-Layer AI Abstraction</w:t>
      </w:r>
    </w:p>
    <w:p>
      <w:r>
        <w:rPr>
          <w:sz w:val="22"/>
          <w:szCs w:val="22"/>
        </w:rPr>
        <w:t xml:space="preserve">Layer 1 (Model Registry) manages provider connections. Layer 2 (Agent Layer) assigns specific models to specific agents. Changing a provider or model requires only configuration changes, no code changes.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Agent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Primary Model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Justification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CaptureAgent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gemini-flash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Native vision/multimodal for image and video analysis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ScopeAgent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deepseek-v3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Structured JSON extraction, canonical concept mapping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ProductionAgent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deepseek-v3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Technical APU generation with component coherence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PlanningAgent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deepseek-v3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Logical sequencing, critical path calculation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ValuationAgent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deepseek-v3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Price synthesis, fallback chain orchestration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OfferAgent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gemini-flash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Fluent commercial narrative generation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ConversationAgent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gemma4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Lightweight, free, fast bot responses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EmbeddingService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gemini-embedding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768d embeddings for Qdrant KnowledgeBase</w:t>
            </w:r>
          </w:p>
        </w:tc>
      </w:tr>
    </w:tbl>
    <w:p>
      <w:pPr>
        <w:pStyle w:val="Heading2"/>
      </w:pPr>
      <w:r>
        <w:t xml:space="preserve">AI Act Compliance Integration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AI Act Article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Art. 4 — AI Literacy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Team training program. Documented per person. Updated annually.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Art. 12 — Record-keeping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AgentRun entity records every AI call: model, tokens, confidence, fallback, human review.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Art. 13 — Transparency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System Card published. Capabilities and limitations documented. Accuracy levels disclosed.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Art. 14 — Human Oversight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Phase 7 (Review) is mandatory and cannot be skipped. Confirmation logged with timestamp and UserId.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Art. 50 — Transparency (conversational)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Bot identifies as AI on first message. Offer PDF includes AI disclaimer. AI-generated content marked until human validation.</w:t>
            </w:r>
          </w:p>
        </w:tc>
      </w:tr>
    </w:tbl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14" w:id="1"/>
      <w:r>
        <w:t xml:space="preserve">14. Quality Attributes (Non-Functional Requirements)</w:t>
      </w:r>
      <w:bookmarkEnd w:id="1"/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Quality Attribute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Target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Measurement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Availability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99.5% (staging/prod)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Uptime monitoring. Docker healthcheck. Traefik health probes.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Response Time (API)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&lt; 200ms p95 (non-AI)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OpenTelemetry traces. YARP request logging.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Response Time (AI ops)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&lt; 30s p95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AI operation timeout policy. Hangfire retry for slow ops.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Throughput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50 concurrent users (MVP)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Redis rate limiting. Polly bulkhead (5 concurrent AI calls/tenant).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Data Isolation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100% tenant isolation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EF Core global query filters. TenantId on every entity. Verified by integration tests.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Test Coverage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&gt; 80% (line+branch+method)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coverlet. CI fails if below threshold.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OWASP Top 10 compliance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JWT auth. Input validation. SQL injection prevention via EF Core parameterized queries.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Vertical to CX51, then horizontal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Single container scales vertically. Module boundaries enable future horizontal extraction.</w:t>
            </w:r>
          </w:p>
        </w:tc>
      </w:tr>
    </w:tbl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15" w:id="1"/>
      <w:r>
        <w:t xml:space="preserve">15. Technology Decisions Summary</w:t>
      </w:r>
      <w:bookmarkEnd w:id="1"/>
    </w:p>
    <w:p>
      <w:r>
        <w:rPr>
          <w:sz w:val="22"/>
          <w:szCs w:val="22"/>
        </w:rPr>
        <w:t xml:space="preserve">All technology decisions are documented as Architecture Decision Records (ADRs). This table provides a quick reference.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Decision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Choice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ADR Reference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Architecture Style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Modular Monolith + Vertical Slice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ADR-001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Backend Framework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.NET 10 + ASP.NET Core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ADR-002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Frontend Framework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Next.js 15 (App Router)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ADR-002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Domain Approach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DDD Tactical Patterns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ADR-003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Command/Query Pattern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CQRS + MediatR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ADR-004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Async Messaging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RabbitMQ + MassTransit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ADR-005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Reliable Messaging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Outbox Pattern (MassTransit)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ADR-006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Multi-Tenancy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Row-Level Security (TenantId)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ADR-007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API Gateway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YARP Reverse Proxy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ADR-008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Primary Database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PostgreSQL 17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ADR-009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Vector Database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Qdrant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ADR-010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AI Abstraction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Microsoft Agents Framework (2-layer)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ADR-011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MCP Integration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Custom MCP Client (.NET)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ADR-012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Credit Model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Token Gate + Reserve/Consume/Release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ADR-013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Bot Channels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Telegram.Bot + Meta Cloud API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ADR-014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Infrastructure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Docker on Hetzner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ADR-015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ASP.NET Core Identity + JWT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ADR-016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Serilog + OpenTelemetry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ADR-017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Soft Delete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IsDeleted + AuditInterceptor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ADR-018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Resilience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Polly + Choreography Saga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ADR-019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Environments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3 Docker Compose files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ADR-020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Git Strategy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Gitflow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ADR-021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API Contracts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OpenAPI 3.1 + RFC 7807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ADR-022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Testing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xUnit + Testcontainers + PactNet + Playwright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ADR-023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Copilot Rules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24 mandatory rules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ADR-024</w:t>
            </w:r>
          </w:p>
        </w:tc>
      </w:tr>
    </w:tbl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spacing w:before="400"/>
        <w:jc w:val="center"/>
      </w:pPr>
      <w:r>
        <w:rPr>
          <w:color w:val="9CA3AF"/>
          <w:sz w:val="18"/>
          <w:szCs w:val="18"/>
        </w:rPr>
        <w:t xml:space="preserve">KYNAKEE PLATFORM · Software Architecture Document v1.0 · 2026-08-20</w:t>
      </w:r>
    </w:p>
    <w:p>
      <w:pPr>
        <w:jc w:val="center"/>
      </w:pPr>
      <w:r>
        <w:rPr>
          <w:i/>
          <w:iCs/>
          <w:color w:val="9CA3AF"/>
          <w:sz w:val="18"/>
          <w:szCs w:val="18"/>
        </w:rPr>
        <w:t xml:space="preserve">Confidential · For internal development use only</w:t>
      </w:r>
    </w:p>
    <w:sectPr>
      <w:pgSz w:w="11906" w:h="16838" w:orient="portrait"/>
      <w:pgMar w:top="1260" w:right="1080" w:bottom="12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80" w:before="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 w:before="480"/>
      <w:jc w:val="center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00" w:before="32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Calibri" w:cs="Calibri" w:eastAsia="Calibri" w:hAnsi="Calibri"/>
      <w:b/>
      <w:bCs/>
      <w:color w:val="2E74B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60"/>
    </w:pPr>
    <w:rPr>
      <w:rFonts w:ascii="Calibri" w:cs="Calibri" w:eastAsia="Calibri" w:hAnsi="Calibri"/>
      <w:b/>
      <w:bCs/>
      <w:color w:val="404040"/>
      <w:sz w:val="22"/>
      <w:szCs w:val="22"/>
    </w:rPr>
  </w:style>
  <w:style w:type="paragraph" w:styleId="CodeBlock">
    <w:name w:val="Code Block"/>
    <w:basedOn w:val="Normal"/>
    <w:pPr>
      <w:spacing w:after="40" w:before="40"/>
      <w:ind w:left="360"/>
    </w:pPr>
    <w:rPr>
      <w:rFonts w:ascii="Consolas" w:cs="Consolas" w:eastAsia="Consolas" w:hAnsi="Consolas"/>
      <w:color w:val="2F4F4F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2026-08-20T08:37:13.101Z</dcterms:created>
  <dcterms:modified xsi:type="dcterms:W3CDTF">2026-08-20T08:37:13.101Z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