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KYNAKEE PLATFORM</w:t>
      </w:r>
    </w:p>
    <w:p>
      <w:pPr>
        <w:spacing w:after="100" w:before="0"/>
        <w:jc w:val="center"/>
      </w:pPr>
      <w:r>
        <w:rPr>
          <w:b/>
          <w:bCs/>
          <w:color w:val="2E74B5"/>
          <w:sz w:val="28"/>
          <w:szCs w:val="28"/>
        </w:rPr>
        <w:t xml:space="preserve">Module Contracts</w:t>
      </w:r>
    </w:p>
    <w:p>
      <w:pPr>
        <w:spacing w:after="80" w:before="0"/>
        <w:jc w:val="center"/>
      </w:pPr>
      <w:r>
        <w:rPr>
          <w:i/>
          <w:iCs/>
          <w:color w:val="595959"/>
          <w:sz w:val="24"/>
          <w:szCs w:val="24"/>
        </w:rPr>
        <w:t xml:space="preserve">Public Interfaces Between the 7 Bounded Contexts</w:t>
      </w:r>
    </w:p>
    <w:p>
      <w:pPr>
        <w:spacing w:after="400" w:before="0"/>
        <w:jc w:val="center"/>
      </w:pPr>
      <w:r>
        <w:rPr>
          <w:color w:val="9CA3AF"/>
          <w:sz w:val="20"/>
          <w:szCs w:val="20"/>
        </w:rPr>
        <w:t xml:space="preserve">v1.0 · 2026-08-20 · Confidential</w:t>
      </w:r>
    </w:p>
    <w:p>
      <w:pPr>
        <w:pBdr>
          <w:bottom w:val="single" w:color="CCCCCC" w:sz="2"/>
        </w:pBdr>
        <w:spacing w:after="120" w:before="120"/>
      </w:pPr>
      <w:r>
        <w:t xml:space="preserve"/>
      </w:r>
    </w:p>
    <w:p>
      <w:pPr>
        <w:pStyle w:val="Heading1"/>
      </w:pPr>
      <w:bookmarkStart w:name="toc" w:id="1"/>
      <w:r>
        <w:t xml:space="preserve">Table of Contents</w:t>
      </w:r>
      <w:bookmarkEnd w:id="1"/>
    </w:p>
    <w:p>
      <w:pPr>
        <w:spacing w:after="40" w:before="40"/>
      </w:pPr>
      <w:hyperlink w:history="1" w:anchor="s1">
        <w:r>
          <w:rPr>
            <w:rStyle w:val="Hyperlink"/>
            <w:sz w:val="22"/>
            <w:szCs w:val="22"/>
          </w:rPr>
          <w:t xml:space="preserve">1. Purpose and Rules</w:t>
        </w:r>
      </w:hyperlink>
    </w:p>
    <w:p>
      <w:pPr>
        <w:spacing w:after="40" w:before="40"/>
      </w:pPr>
      <w:hyperlink w:history="1" w:anchor="s2">
        <w:r>
          <w:rPr>
            <w:rStyle w:val="Hyperlink"/>
            <w:sz w:val="22"/>
            <w:szCs w:val="22"/>
          </w:rPr>
          <w:t xml:space="preserve">2. Projects Module — IProjectService</w:t>
        </w:r>
      </w:hyperlink>
    </w:p>
    <w:p>
      <w:pPr>
        <w:spacing w:after="40" w:before="40"/>
      </w:pPr>
      <w:hyperlink w:history="1" w:anchor="s3">
        <w:r>
          <w:rPr>
            <w:rStyle w:val="Hyperlink"/>
            <w:sz w:val="22"/>
            <w:szCs w:val="22"/>
          </w:rPr>
          <w:t xml:space="preserve">3. KnowledgeBase Module — IKnowledgeBaseService</w:t>
        </w:r>
      </w:hyperlink>
    </w:p>
    <w:p>
      <w:pPr>
        <w:spacing w:after="40" w:before="40"/>
      </w:pPr>
      <w:hyperlink w:history="1" w:anchor="s4">
        <w:r>
          <w:rPr>
            <w:rStyle w:val="Hyperlink"/>
            <w:sz w:val="22"/>
            <w:szCs w:val="22"/>
          </w:rPr>
          <w:t xml:space="preserve">4. MCP Module — IMCPClient</w:t>
        </w:r>
      </w:hyperlink>
    </w:p>
    <w:p>
      <w:pPr>
        <w:spacing w:after="40" w:before="40"/>
      </w:pPr>
      <w:hyperlink w:history="1" w:anchor="s5">
        <w:r>
          <w:rPr>
            <w:rStyle w:val="Hyperlink"/>
            <w:sz w:val="22"/>
            <w:szCs w:val="22"/>
          </w:rPr>
          <w:t xml:space="preserve">5. AI Module — IKynakeeAgentService</w:t>
        </w:r>
      </w:hyperlink>
    </w:p>
    <w:p>
      <w:pPr>
        <w:spacing w:after="40" w:before="40"/>
      </w:pPr>
      <w:hyperlink w:history="1" w:anchor="s6">
        <w:r>
          <w:rPr>
            <w:rStyle w:val="Hyperlink"/>
            <w:sz w:val="22"/>
            <w:szCs w:val="22"/>
          </w:rPr>
          <w:t xml:space="preserve">6. Bots Module — IBotNotificationService</w:t>
        </w:r>
      </w:hyperlink>
    </w:p>
    <w:p>
      <w:pPr>
        <w:spacing w:after="40" w:before="40"/>
      </w:pPr>
      <w:hyperlink w:history="1" w:anchor="s7">
        <w:r>
          <w:rPr>
            <w:rStyle w:val="Hyperlink"/>
            <w:sz w:val="22"/>
            <w:szCs w:val="22"/>
          </w:rPr>
          <w:t xml:space="preserve">7. Billing Module — IBillingService</w:t>
        </w:r>
      </w:hyperlink>
    </w:p>
    <w:p>
      <w:pPr>
        <w:spacing w:after="40" w:before="40"/>
      </w:pPr>
      <w:hyperlink w:history="1" w:anchor="s8">
        <w:r>
          <w:rPr>
            <w:rStyle w:val="Hyperlink"/>
            <w:sz w:val="22"/>
            <w:szCs w:val="22"/>
          </w:rPr>
          <w:t xml:space="preserve">8. Identity Module — IIdentityService</w:t>
        </w:r>
      </w:hyperlink>
    </w:p>
    <w:p>
      <w:pPr>
        <w:spacing w:after="40" w:before="40"/>
      </w:pPr>
      <w:hyperlink w:history="1" w:anchor="s9">
        <w:r>
          <w:rPr>
            <w:rStyle w:val="Hyperlink"/>
            <w:sz w:val="22"/>
            <w:szCs w:val="22"/>
          </w:rPr>
          <w:t xml:space="preserve">9. Cross-Module Communication Rules</w:t>
        </w:r>
      </w:hyperlink>
    </w:p>
    <w:p>
      <w:pPr>
        <w:spacing w:after="40" w:before="40"/>
      </w:pPr>
      <w:hyperlink w:history="1" w:anchor="s10">
        <w:r>
          <w:rPr>
            <w:rStyle w:val="Hyperlink"/>
            <w:sz w:val="22"/>
            <w:szCs w:val="22"/>
          </w:rPr>
          <w:t xml:space="preserve">10. Integration Event Contracts</w:t>
        </w:r>
      </w:hyperlink>
    </w:p>
    <w:p>
      <w:r>
        <w:br w:type="page"/>
      </w:r>
    </w:p>
    <w:p>
      <w:pPr>
        <w:pStyle w:val="Heading1"/>
      </w:pPr>
      <w:bookmarkStart w:name="s1" w:id="1"/>
      <w:r>
        <w:t xml:space="preserve">1. Purpose and Rules</w:t>
      </w:r>
      <w:bookmarkEnd w:id="1"/>
    </w:p>
    <w:p>
      <w:r>
        <w:rPr>
          <w:sz w:val="22"/>
          <w:szCs w:val="22"/>
        </w:rPr>
        <w:t xml:space="preserve">Module Contracts define the public interfaces that each of the 7 bounded contexts exposes to other modules. These contracts are the ONLY legal way for modules to communicate synchronously. Any code that bypasses these interfaces and accesses another module's DbContext, repositories, or domain objects directly is a violation of the architecture.</w:t>
      </w:r>
    </w:p>
    <w:p>
      <w:pPr>
        <w:pBdr>
          <w:left w:val="single" w:color="D97706" w:sz="8"/>
        </w:pBdr>
        <w:spacing w:after="80" w:before="80"/>
        <w:ind w:left="720"/>
      </w:pPr>
      <w:r>
        <w:rPr>
          <w:b/>
          <w:bCs/>
          <w:color w:val="D97706"/>
          <w:sz w:val="22"/>
          <w:szCs w:val="22"/>
        </w:rPr>
        <w:t xml:space="preserve">Rule 1: </w:t>
      </w:r>
      <w:r>
        <w:rPr>
          <w:sz w:val="22"/>
          <w:szCs w:val="22"/>
        </w:rPr>
        <w:t xml:space="preserve">Modules communicate ONLY via these public interfaces (synchronous) or integration events via MassTransit (asynchronous). Never via direct DbContext access.</w:t>
      </w:r>
    </w:p>
    <w:p>
      <w:pPr>
        <w:pBdr>
          <w:left w:val="single" w:color="D97706" w:sz="8"/>
        </w:pBdr>
        <w:spacing w:after="80" w:before="80"/>
        <w:ind w:left="720"/>
      </w:pPr>
      <w:r>
        <w:rPr>
          <w:b/>
          <w:bCs/>
          <w:color w:val="D97706"/>
          <w:sz w:val="22"/>
          <w:szCs w:val="22"/>
        </w:rPr>
        <w:t xml:space="preserve">Rule 2: </w:t>
      </w:r>
      <w:r>
        <w:rPr>
          <w:sz w:val="22"/>
          <w:szCs w:val="22"/>
        </w:rPr>
        <w:t xml:space="preserve">These interfaces are injected via DI. Never instantiate implementations directly.</w:t>
      </w:r>
    </w:p>
    <w:p>
      <w:pPr>
        <w:pBdr>
          <w:left w:val="single" w:color="D97706" w:sz="8"/>
        </w:pBdr>
        <w:spacing w:after="80" w:before="80"/>
        <w:ind w:left="720"/>
      </w:pPr>
      <w:r>
        <w:rPr>
          <w:b/>
          <w:bCs/>
          <w:color w:val="D97706"/>
          <w:sz w:val="22"/>
          <w:szCs w:val="22"/>
        </w:rPr>
        <w:t xml:space="preserve">Rule 3: </w:t>
      </w:r>
      <w:r>
        <w:rPr>
          <w:sz w:val="22"/>
          <w:szCs w:val="22"/>
        </w:rPr>
        <w:t xml:space="preserve">All methods return Result&lt;T&gt;. Never throw exceptions across module boundaries.</w:t>
      </w:r>
    </w:p>
    <w:p>
      <w:pPr>
        <w:pBdr>
          <w:left w:val="single" w:color="D97706" w:sz="8"/>
        </w:pBdr>
        <w:spacing w:after="80" w:before="80"/>
        <w:ind w:left="720"/>
      </w:pPr>
      <w:r>
        <w:rPr>
          <w:b/>
          <w:bCs/>
          <w:color w:val="D97706"/>
          <w:sz w:val="22"/>
          <w:szCs w:val="22"/>
        </w:rPr>
        <w:t xml:space="preserve">Rule 4: </w:t>
      </w:r>
      <w:r>
        <w:rPr>
          <w:sz w:val="22"/>
          <w:szCs w:val="22"/>
        </w:rPr>
        <w:t xml:space="preserve">DTOs in these contracts are defined in the consuming module, not the providing module. This prevents circular dependencies.</w:t>
      </w:r>
    </w:p>
    <w:p>
      <w:pPr>
        <w:pBdr>
          <w:bottom w:val="single" w:color="CCCCCC" w:sz="2"/>
        </w:pBdr>
        <w:spacing w:after="120" w:before="120"/>
      </w:pPr>
      <w:r>
        <w:t xml:space="preserve"/>
      </w:r>
    </w:p>
    <w:p>
      <w:pPr>
        <w:pStyle w:val="Heading1"/>
      </w:pPr>
      <w:bookmarkStart w:name="s2" w:id="1"/>
      <w:r>
        <w:t xml:space="preserve">2. Projects Module — IProjectService</w:t>
      </w:r>
      <w:bookmarkEnd w:id="1"/>
    </w:p>
    <w:p>
      <w:r>
        <w:rPr>
          <w:sz w:val="22"/>
          <w:szCs w:val="22"/>
        </w:rPr>
        <w:t xml:space="preserve">The Projects module is the Core Domain. Other modules query project state via IProjectService. Only the Projects module can mutate Project aggregate state.</w:t>
      </w:r>
    </w:p>
    <w:p>
      <w:pPr>
        <w:pStyle w:val="CodeBlock"/>
      </w:pPr>
      <w:r>
        <w:rPr>
          <w:rFonts w:ascii="Consolas" w:cs="Consolas" w:eastAsia="Consolas" w:hAnsi="Consolas"/>
          <w:color w:val="2F4F4F"/>
          <w:sz w:val="17"/>
          <w:szCs w:val="17"/>
        </w:rPr>
        <w:t xml:space="preserve">namespace Kynakee.Modules.Projects.Contracts;</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&lt;summary&gt;</w:t>
      </w:r>
    </w:p>
    <w:p>
      <w:pPr>
        <w:pStyle w:val="CodeBlock"/>
      </w:pPr>
      <w:r>
        <w:rPr>
          <w:rFonts w:ascii="Consolas" w:cs="Consolas" w:eastAsia="Consolas" w:hAnsi="Consolas"/>
          <w:color w:val="2F4F4F"/>
          <w:sz w:val="17"/>
          <w:szCs w:val="17"/>
        </w:rPr>
        <w:t xml:space="preserve">/// Public contract for the Projects module.</w:t>
      </w:r>
    </w:p>
    <w:p>
      <w:pPr>
        <w:pStyle w:val="CodeBlock"/>
      </w:pPr>
      <w:r>
        <w:rPr>
          <w:rFonts w:ascii="Consolas" w:cs="Consolas" w:eastAsia="Consolas" w:hAnsi="Consolas"/>
          <w:color w:val="2F4F4F"/>
          <w:sz w:val="17"/>
          <w:szCs w:val="17"/>
        </w:rPr>
        <w:t xml:space="preserve">/// Used by: Bots, Billing, AI (for context), KnowledgeBase</w:t>
      </w:r>
    </w:p>
    <w:p>
      <w:pPr>
        <w:pStyle w:val="CodeBlock"/>
      </w:pPr>
      <w:r>
        <w:rPr>
          <w:rFonts w:ascii="Consolas" w:cs="Consolas" w:eastAsia="Consolas" w:hAnsi="Consolas"/>
          <w:color w:val="2F4F4F"/>
          <w:sz w:val="17"/>
          <w:szCs w:val="17"/>
        </w:rPr>
        <w:t xml:space="preserve">/// &lt;/summary&gt;</w:t>
      </w:r>
    </w:p>
    <w:p>
      <w:pPr>
        <w:pStyle w:val="CodeBlock"/>
      </w:pPr>
      <w:r>
        <w:rPr>
          <w:rFonts w:ascii="Consolas" w:cs="Consolas" w:eastAsia="Consolas" w:hAnsi="Consolas"/>
          <w:color w:val="2F4F4F"/>
          <w:sz w:val="17"/>
          <w:szCs w:val="17"/>
        </w:rPr>
        <w:t xml:space="preserve">public interface IProjectService</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 ── Read operations (return projections, never full aggregate) ──</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Task&lt;Result&lt;ProjectSummaryDto&gt;&gt; GetProjectSummaryAsync(</w:t>
      </w:r>
    </w:p>
    <w:p>
      <w:pPr>
        <w:pStyle w:val="CodeBlock"/>
      </w:pPr>
      <w:r>
        <w:rPr>
          <w:rFonts w:ascii="Consolas" w:cs="Consolas" w:eastAsia="Consolas" w:hAnsi="Consolas"/>
          <w:color w:val="2F4F4F"/>
          <w:sz w:val="17"/>
          <w:szCs w:val="17"/>
        </w:rPr>
        <w:t xml:space="preserve">        Guid projectId, Guid tenantId,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Task&lt;Result&lt;ProjectPhaseDto&gt;&gt; GetCurrentPhaseAsync(</w:t>
      </w:r>
    </w:p>
    <w:p>
      <w:pPr>
        <w:pStyle w:val="CodeBlock"/>
      </w:pPr>
      <w:r>
        <w:rPr>
          <w:rFonts w:ascii="Consolas" w:cs="Consolas" w:eastAsia="Consolas" w:hAnsi="Consolas"/>
          <w:color w:val="2F4F4F"/>
          <w:sz w:val="17"/>
          <w:szCs w:val="17"/>
        </w:rPr>
        <w:t xml:space="preserve">        Guid projectId, Guid tenantId,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Task&lt;Result&lt;IReadOnlyList&lt;WorkItemDto&gt;&gt;&gt; GetWorkItemsAsync(</w:t>
      </w:r>
    </w:p>
    <w:p>
      <w:pPr>
        <w:pStyle w:val="CodeBlock"/>
      </w:pPr>
      <w:r>
        <w:rPr>
          <w:rFonts w:ascii="Consolas" w:cs="Consolas" w:eastAsia="Consolas" w:hAnsi="Consolas"/>
          <w:color w:val="2F4F4F"/>
          <w:sz w:val="17"/>
          <w:szCs w:val="17"/>
        </w:rPr>
        <w:t xml:space="preserve">        Guid projectId, Guid tenantId,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Task&lt;Result&lt;ValuationSummaryDto&gt;&gt; GetValuationSummaryAsync(</w:t>
      </w:r>
    </w:p>
    <w:p>
      <w:pPr>
        <w:pStyle w:val="CodeBlock"/>
      </w:pPr>
      <w:r>
        <w:rPr>
          <w:rFonts w:ascii="Consolas" w:cs="Consolas" w:eastAsia="Consolas" w:hAnsi="Consolas"/>
          <w:color w:val="2F4F4F"/>
          <w:sz w:val="17"/>
          <w:szCs w:val="17"/>
        </w:rPr>
        <w:t xml:space="preserve">        Guid projectId, Guid tenantId,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Task&lt;Result&lt;TokenConsumptionDto&gt;&gt; GetTokenConsumptionAsync(</w:t>
      </w:r>
    </w:p>
    <w:p>
      <w:pPr>
        <w:pStyle w:val="CodeBlock"/>
      </w:pPr>
      <w:r>
        <w:rPr>
          <w:rFonts w:ascii="Consolas" w:cs="Consolas" w:eastAsia="Consolas" w:hAnsi="Consolas"/>
          <w:color w:val="2F4F4F"/>
          <w:sz w:val="17"/>
          <w:szCs w:val="17"/>
        </w:rPr>
        <w:t xml:space="preserve">        Guid projectId, Guid tenantId,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 ── Used by Bots module to get active project for a conversation ──</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Task&lt;Result&lt;ProjectSummaryDto?&gt;&gt; GetActiveProjectForConversationAsync(</w:t>
      </w:r>
    </w:p>
    <w:p>
      <w:pPr>
        <w:pStyle w:val="CodeBlock"/>
      </w:pPr>
      <w:r>
        <w:rPr>
          <w:rFonts w:ascii="Consolas" w:cs="Consolas" w:eastAsia="Consolas" w:hAnsi="Consolas"/>
          <w:color w:val="2F4F4F"/>
          <w:sz w:val="17"/>
          <w:szCs w:val="17"/>
        </w:rPr>
        <w:t xml:space="preserve">        string externalConversationId, string channel, Guid tenantId, CancellationToken ct);</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DTOs exposed by this contract</w:t>
      </w:r>
    </w:p>
    <w:p>
      <w:pPr>
        <w:pStyle w:val="CodeBlock"/>
      </w:pPr>
      <w:r>
        <w:rPr>
          <w:rFonts w:ascii="Consolas" w:cs="Consolas" w:eastAsia="Consolas" w:hAnsi="Consolas"/>
          <w:color w:val="2F4F4F"/>
          <w:sz w:val="17"/>
          <w:szCs w:val="17"/>
        </w:rPr>
        <w:t xml:space="preserve">public record ProjectSummaryDto(</w:t>
      </w:r>
    </w:p>
    <w:p>
      <w:pPr>
        <w:pStyle w:val="CodeBlock"/>
      </w:pPr>
      <w:r>
        <w:rPr>
          <w:rFonts w:ascii="Consolas" w:cs="Consolas" w:eastAsia="Consolas" w:hAnsi="Consolas"/>
          <w:color w:val="2F4F4F"/>
          <w:sz w:val="17"/>
          <w:szCs w:val="17"/>
        </w:rPr>
        <w:t xml:space="preserve">    Guid Id, string Name, string CurrentPhase, string Status,</w:t>
      </w:r>
    </w:p>
    <w:p>
      <w:pPr>
        <w:pStyle w:val="CodeBlock"/>
      </w:pPr>
      <w:r>
        <w:rPr>
          <w:rFonts w:ascii="Consolas" w:cs="Consolas" w:eastAsia="Consolas" w:hAnsi="Consolas"/>
          <w:color w:val="2F4F4F"/>
          <w:sz w:val="17"/>
          <w:szCs w:val="17"/>
        </w:rPr>
        <w:t xml:space="preserve">    string ClientName, DateTime UpdatedAt, int WorkItemCount,</w:t>
      </w:r>
    </w:p>
    <w:p>
      <w:pPr>
        <w:pStyle w:val="CodeBlock"/>
      </w:pPr>
      <w:r>
        <w:rPr>
          <w:rFonts w:ascii="Consolas" w:cs="Consolas" w:eastAsia="Consolas" w:hAnsi="Consolas"/>
          <w:color w:val="2F4F4F"/>
          <w:sz w:val="17"/>
          <w:szCs w:val="17"/>
        </w:rPr>
        <w:t xml:space="preserve">    decimal? TotalCost, double? ConfidenceLevel);</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ProjectPhaseDto(</w:t>
      </w:r>
    </w:p>
    <w:p>
      <w:pPr>
        <w:pStyle w:val="CodeBlock"/>
      </w:pPr>
      <w:r>
        <w:rPr>
          <w:rFonts w:ascii="Consolas" w:cs="Consolas" w:eastAsia="Consolas" w:hAnsi="Consolas"/>
          <w:color w:val="2F4F4F"/>
          <w:sz w:val="17"/>
          <w:szCs w:val="17"/>
        </w:rPr>
        <w:t xml:space="preserve">    Guid ProjectId, string CurrentPhase, string Status,</w:t>
      </w:r>
    </w:p>
    <w:p>
      <w:pPr>
        <w:pStyle w:val="CodeBlock"/>
      </w:pPr>
      <w:r>
        <w:rPr>
          <w:rFonts w:ascii="Consolas" w:cs="Consolas" w:eastAsia="Consolas" w:hAnsi="Consolas"/>
          <w:color w:val="2F4F4F"/>
          <w:sz w:val="17"/>
          <w:szCs w:val="17"/>
        </w:rPr>
        <w:t xml:space="preserve">    bool CanAdvance, string? BlockingReason);</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WorkItemDto(</w:t>
      </w:r>
    </w:p>
    <w:p>
      <w:pPr>
        <w:pStyle w:val="CodeBlock"/>
      </w:pPr>
      <w:r>
        <w:rPr>
          <w:rFonts w:ascii="Consolas" w:cs="Consolas" w:eastAsia="Consolas" w:hAnsi="Consolas"/>
          <w:color w:val="2F4F4F"/>
          <w:sz w:val="17"/>
          <w:szCs w:val="17"/>
        </w:rPr>
        <w:t xml:space="preserve">    Guid Id, string CanonicalConceptId, string Description,</w:t>
      </w:r>
    </w:p>
    <w:p>
      <w:pPr>
        <w:pStyle w:val="CodeBlock"/>
      </w:pPr>
      <w:r>
        <w:rPr>
          <w:rFonts w:ascii="Consolas" w:cs="Consolas" w:eastAsia="Consolas" w:hAnsi="Consolas"/>
          <w:color w:val="2F4F4F"/>
          <w:sz w:val="17"/>
          <w:szCs w:val="17"/>
        </w:rPr>
        <w:t xml:space="preserve">    string Unit, decimal Quantity, double Confidence, string AIStatus);</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ValuationSummaryDto(</w:t>
      </w:r>
    </w:p>
    <w:p>
      <w:pPr>
        <w:pStyle w:val="CodeBlock"/>
      </w:pPr>
      <w:r>
        <w:rPr>
          <w:rFonts w:ascii="Consolas" w:cs="Consolas" w:eastAsia="Consolas" w:hAnsi="Consolas"/>
          <w:color w:val="2F4F4F"/>
          <w:sz w:val="17"/>
          <w:szCs w:val="17"/>
        </w:rPr>
        <w:t xml:space="preserve">    Guid ProjectId, decimal TotalCost, string Currency,</w:t>
      </w:r>
    </w:p>
    <w:p>
      <w:pPr>
        <w:pStyle w:val="CodeBlock"/>
      </w:pPr>
      <w:r>
        <w:rPr>
          <w:rFonts w:ascii="Consolas" w:cs="Consolas" w:eastAsia="Consolas" w:hAnsi="Consolas"/>
          <w:color w:val="2F4F4F"/>
          <w:sz w:val="17"/>
          <w:szCs w:val="17"/>
        </w:rPr>
        <w:t xml:space="preserve">    double ConfidenceLevel, bool IsComplete, DateTime? ValuedAt);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TokenConsumptionDto(</w:t>
      </w:r>
    </w:p>
    <w:p>
      <w:pPr>
        <w:pStyle w:val="CodeBlock"/>
      </w:pPr>
      <w:r>
        <w:rPr>
          <w:rFonts w:ascii="Consolas" w:cs="Consolas" w:eastAsia="Consolas" w:hAnsi="Consolas"/>
          <w:color w:val="2F4F4F"/>
          <w:sz w:val="17"/>
          <w:szCs w:val="17"/>
        </w:rPr>
        <w:t xml:space="preserve">    int TotalTokens, decimal TotalCredits,</w:t>
      </w:r>
    </w:p>
    <w:p>
      <w:pPr>
        <w:pStyle w:val="CodeBlock"/>
      </w:pPr>
      <w:r>
        <w:rPr>
          <w:rFonts w:ascii="Consolas" w:cs="Consolas" w:eastAsia="Consolas" w:hAnsi="Consolas"/>
          <w:color w:val="2F4F4F"/>
          <w:sz w:val="17"/>
          <w:szCs w:val="17"/>
        </w:rPr>
        <w:t xml:space="preserve">    Dictionary&lt;string, int&gt; TokensByPhase);</w:t>
      </w:r>
    </w:p>
    <w:p>
      <w:pPr>
        <w:pBdr>
          <w:bottom w:val="single" w:color="CCCCCC" w:sz="2"/>
        </w:pBdr>
        <w:spacing w:after="120" w:before="120"/>
      </w:pPr>
      <w:r>
        <w:t xml:space="preserve"/>
      </w:r>
    </w:p>
    <w:p>
      <w:pPr>
        <w:pStyle w:val="Heading1"/>
      </w:pPr>
      <w:bookmarkStart w:name="s3" w:id="1"/>
      <w:r>
        <w:t xml:space="preserve">3. KnowledgeBase Module — IKnowledgeBaseService</w:t>
      </w:r>
      <w:bookmarkEnd w:id="1"/>
    </w:p>
    <w:p>
      <w:r>
        <w:rPr>
          <w:sz w:val="22"/>
          <w:szCs w:val="22"/>
        </w:rPr>
        <w:t xml:space="preserve">The KnowledgeBase module provides APU template lookup and canonical concept search. Used primarily by the Projects module (Phase 4: Production) and the AI module.</w:t>
      </w:r>
    </w:p>
    <w:p>
      <w:pPr>
        <w:pStyle w:val="CodeBlock"/>
      </w:pPr>
      <w:r>
        <w:rPr>
          <w:rFonts w:ascii="Consolas" w:cs="Consolas" w:eastAsia="Consolas" w:hAnsi="Consolas"/>
          <w:color w:val="2F4F4F"/>
          <w:sz w:val="17"/>
          <w:szCs w:val="17"/>
        </w:rPr>
        <w:t xml:space="preserve">namespace Kynakee.Modules.KnowledgeBase.Contracts;</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&lt;summary&gt;</w:t>
      </w:r>
    </w:p>
    <w:p>
      <w:pPr>
        <w:pStyle w:val="CodeBlock"/>
      </w:pPr>
      <w:r>
        <w:rPr>
          <w:rFonts w:ascii="Consolas" w:cs="Consolas" w:eastAsia="Consolas" w:hAnsi="Consolas"/>
          <w:color w:val="2F4F4F"/>
          <w:sz w:val="17"/>
          <w:szCs w:val="17"/>
        </w:rPr>
        <w:t xml:space="preserve">/// Public contract for the KnowledgeBase module.</w:t>
      </w:r>
    </w:p>
    <w:p>
      <w:pPr>
        <w:pStyle w:val="CodeBlock"/>
      </w:pPr>
      <w:r>
        <w:rPr>
          <w:rFonts w:ascii="Consolas" w:cs="Consolas" w:eastAsia="Consolas" w:hAnsi="Consolas"/>
          <w:color w:val="2F4F4F"/>
          <w:sz w:val="17"/>
          <w:szCs w:val="17"/>
        </w:rPr>
        <w:t xml:space="preserve">/// Used by: Projects (Phase 4), AI module</w:t>
      </w:r>
    </w:p>
    <w:p>
      <w:pPr>
        <w:pStyle w:val="CodeBlock"/>
      </w:pPr>
      <w:r>
        <w:rPr>
          <w:rFonts w:ascii="Consolas" w:cs="Consolas" w:eastAsia="Consolas" w:hAnsi="Consolas"/>
          <w:color w:val="2F4F4F"/>
          <w:sz w:val="17"/>
          <w:szCs w:val="17"/>
        </w:rPr>
        <w:t xml:space="preserve">/// &lt;/summary&gt;</w:t>
      </w:r>
    </w:p>
    <w:p>
      <w:pPr>
        <w:pStyle w:val="CodeBlock"/>
      </w:pPr>
      <w:r>
        <w:rPr>
          <w:rFonts w:ascii="Consolas" w:cs="Consolas" w:eastAsia="Consolas" w:hAnsi="Consolas"/>
          <w:color w:val="2F4F4F"/>
          <w:sz w:val="17"/>
          <w:szCs w:val="17"/>
        </w:rPr>
        <w:t xml:space="preserve">public interface IKnowledgeBaseService</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 ── APU Template operations ──</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Task&lt;Result&lt;APUTemplateDto?&gt;&gt; FindAPUTemplateAsync(</w:t>
      </w:r>
    </w:p>
    <w:p>
      <w:pPr>
        <w:pStyle w:val="CodeBlock"/>
      </w:pPr>
      <w:r>
        <w:rPr>
          <w:rFonts w:ascii="Consolas" w:cs="Consolas" w:eastAsia="Consolas" w:hAnsi="Consolas"/>
          <w:color w:val="2F4F4F"/>
          <w:sz w:val="17"/>
          <w:szCs w:val="17"/>
        </w:rPr>
        <w:t xml:space="preserve">        string canonicalConceptId,</w:t>
      </w:r>
    </w:p>
    <w:p>
      <w:pPr>
        <w:pStyle w:val="CodeBlock"/>
      </w:pPr>
      <w:r>
        <w:rPr>
          <w:rFonts w:ascii="Consolas" w:cs="Consolas" w:eastAsia="Consolas" w:hAnsi="Consolas"/>
          <w:color w:val="2F4F4F"/>
          <w:sz w:val="17"/>
          <w:szCs w:val="17"/>
        </w:rPr>
        <w:t xml:space="preserve">        string geoRegion,</w:t>
      </w:r>
    </w:p>
    <w:p>
      <w:pPr>
        <w:pStyle w:val="CodeBlock"/>
      </w:pPr>
      <w:r>
        <w:rPr>
          <w:rFonts w:ascii="Consolas" w:cs="Consolas" w:eastAsia="Consolas" w:hAnsi="Consolas"/>
          <w:color w:val="2F4F4F"/>
          <w:sz w:val="17"/>
          <w:szCs w:val="17"/>
        </w:rPr>
        <w:t xml:space="preserve">        string projectType,</w:t>
      </w:r>
    </w:p>
    <w:p>
      <w:pPr>
        <w:pStyle w:val="CodeBlock"/>
      </w:pPr>
      <w:r>
        <w:rPr>
          <w:rFonts w:ascii="Consolas" w:cs="Consolas" w:eastAsia="Consolas" w:hAnsi="Consolas"/>
          <w:color w:val="2F4F4F"/>
          <w:sz w:val="17"/>
          <w:szCs w:val="17"/>
        </w:rPr>
        <w:t xml:space="preserve">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Task&lt;Result&lt;IReadOnlyList&lt;APUTemplateDto&gt;&gt;&gt; SearchAPUTemplatesAsync(</w:t>
      </w:r>
    </w:p>
    <w:p>
      <w:pPr>
        <w:pStyle w:val="CodeBlock"/>
      </w:pPr>
      <w:r>
        <w:rPr>
          <w:rFonts w:ascii="Consolas" w:cs="Consolas" w:eastAsia="Consolas" w:hAnsi="Consolas"/>
          <w:color w:val="2F4F4F"/>
          <w:sz w:val="17"/>
          <w:szCs w:val="17"/>
        </w:rPr>
        <w:t xml:space="preserve">        string query,</w:t>
      </w:r>
    </w:p>
    <w:p>
      <w:pPr>
        <w:pStyle w:val="CodeBlock"/>
      </w:pPr>
      <w:r>
        <w:rPr>
          <w:rFonts w:ascii="Consolas" w:cs="Consolas" w:eastAsia="Consolas" w:hAnsi="Consolas"/>
          <w:color w:val="2F4F4F"/>
          <w:sz w:val="17"/>
          <w:szCs w:val="17"/>
        </w:rPr>
        <w:t xml:space="preserve">        string geoRegion,</w:t>
      </w:r>
    </w:p>
    <w:p>
      <w:pPr>
        <w:pStyle w:val="CodeBlock"/>
      </w:pPr>
      <w:r>
        <w:rPr>
          <w:rFonts w:ascii="Consolas" w:cs="Consolas" w:eastAsia="Consolas" w:hAnsi="Consolas"/>
          <w:color w:val="2F4F4F"/>
          <w:sz w:val="17"/>
          <w:szCs w:val="17"/>
        </w:rPr>
        <w:t xml:space="preserve">        int limit,</w:t>
      </w:r>
    </w:p>
    <w:p>
      <w:pPr>
        <w:pStyle w:val="CodeBlock"/>
      </w:pPr>
      <w:r>
        <w:rPr>
          <w:rFonts w:ascii="Consolas" w:cs="Consolas" w:eastAsia="Consolas" w:hAnsi="Consolas"/>
          <w:color w:val="2F4F4F"/>
          <w:sz w:val="17"/>
          <w:szCs w:val="17"/>
        </w:rPr>
        <w:t xml:space="preserve">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Task&lt;Result&lt;APUTemplateId&gt;&gt; SaveAPUTemplateAsync(</w:t>
      </w:r>
    </w:p>
    <w:p>
      <w:pPr>
        <w:pStyle w:val="CodeBlock"/>
      </w:pPr>
      <w:r>
        <w:rPr>
          <w:rFonts w:ascii="Consolas" w:cs="Consolas" w:eastAsia="Consolas" w:hAnsi="Consolas"/>
          <w:color w:val="2F4F4F"/>
          <w:sz w:val="17"/>
          <w:szCs w:val="17"/>
        </w:rPr>
        <w:t xml:space="preserve">        SaveAPUTemplateRequest request,</w:t>
      </w:r>
    </w:p>
    <w:p>
      <w:pPr>
        <w:pStyle w:val="CodeBlock"/>
      </w:pPr>
      <w:r>
        <w:rPr>
          <w:rFonts w:ascii="Consolas" w:cs="Consolas" w:eastAsia="Consolas" w:hAnsi="Consolas"/>
          <w:color w:val="2F4F4F"/>
          <w:sz w:val="17"/>
          <w:szCs w:val="17"/>
        </w:rPr>
        <w:t xml:space="preserve">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 ── Canonical Concept operations ──</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Task&lt;Result&lt;CanonicalConceptDto?&gt;&gt; FindCanonicalConceptAsync(</w:t>
      </w:r>
    </w:p>
    <w:p>
      <w:pPr>
        <w:pStyle w:val="CodeBlock"/>
      </w:pPr>
      <w:r>
        <w:rPr>
          <w:rFonts w:ascii="Consolas" w:cs="Consolas" w:eastAsia="Consolas" w:hAnsi="Consolas"/>
          <w:color w:val="2F4F4F"/>
          <w:sz w:val="17"/>
          <w:szCs w:val="17"/>
        </w:rPr>
        <w:t xml:space="preserve">        string conceptId,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Task&lt;Result&lt;IReadOnlyList&lt;CanonicalConceptDto&gt;&gt;&gt; SearchCanonicalConceptsAsync(</w:t>
      </w:r>
    </w:p>
    <w:p>
      <w:pPr>
        <w:pStyle w:val="CodeBlock"/>
      </w:pPr>
      <w:r>
        <w:rPr>
          <w:rFonts w:ascii="Consolas" w:cs="Consolas" w:eastAsia="Consolas" w:hAnsi="Consolas"/>
          <w:color w:val="2F4F4F"/>
          <w:sz w:val="17"/>
          <w:szCs w:val="17"/>
        </w:rPr>
        <w:t xml:space="preserve">        string query, string language, int limit,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 ── Embedding operations (used by AI module) ──</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Task&lt;Result&lt;float[]&gt;&gt; GenerateEmbeddingAsync(</w:t>
      </w:r>
    </w:p>
    <w:p>
      <w:pPr>
        <w:pStyle w:val="CodeBlock"/>
      </w:pPr>
      <w:r>
        <w:rPr>
          <w:rFonts w:ascii="Consolas" w:cs="Consolas" w:eastAsia="Consolas" w:hAnsi="Consolas"/>
          <w:color w:val="2F4F4F"/>
          <w:sz w:val="17"/>
          <w:szCs w:val="17"/>
        </w:rPr>
        <w:t xml:space="preserve">        string text, CancellationToken ct);</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APUTemplateDto(</w:t>
      </w:r>
    </w:p>
    <w:p>
      <w:pPr>
        <w:pStyle w:val="CodeBlock"/>
      </w:pPr>
      <w:r>
        <w:rPr>
          <w:rFonts w:ascii="Consolas" w:cs="Consolas" w:eastAsia="Consolas" w:hAnsi="Consolas"/>
          <w:color w:val="2F4F4F"/>
          <w:sz w:val="17"/>
          <w:szCs w:val="17"/>
        </w:rPr>
        <w:t xml:space="preserve">    Guid Id, string CanonicalConceptId, string Description,</w:t>
      </w:r>
    </w:p>
    <w:p>
      <w:pPr>
        <w:pStyle w:val="CodeBlock"/>
      </w:pPr>
      <w:r>
        <w:rPr>
          <w:rFonts w:ascii="Consolas" w:cs="Consolas" w:eastAsia="Consolas" w:hAnsi="Consolas"/>
          <w:color w:val="2F4F4F"/>
          <w:sz w:val="17"/>
          <w:szCs w:val="17"/>
        </w:rPr>
        <w:t xml:space="preserve">    string ProjectType, string GeoRegion, string Unit,</w:t>
      </w:r>
    </w:p>
    <w:p>
      <w:pPr>
        <w:pStyle w:val="CodeBlock"/>
      </w:pPr>
      <w:r>
        <w:rPr>
          <w:rFonts w:ascii="Consolas" w:cs="Consolas" w:eastAsia="Consolas" w:hAnsi="Consolas"/>
          <w:color w:val="2F4F4F"/>
          <w:sz w:val="17"/>
          <w:szCs w:val="17"/>
        </w:rPr>
        <w:t xml:space="preserve">    double YieldHoursPerUnit, string CrewDescription,</w:t>
      </w:r>
    </w:p>
    <w:p>
      <w:pPr>
        <w:pStyle w:val="CodeBlock"/>
      </w:pPr>
      <w:r>
        <w:rPr>
          <w:rFonts w:ascii="Consolas" w:cs="Consolas" w:eastAsia="Consolas" w:hAnsi="Consolas"/>
          <w:color w:val="2F4F4F"/>
          <w:sz w:val="17"/>
          <w:szCs w:val="17"/>
        </w:rPr>
        <w:t xml:space="preserve">    IReadOnlyList&lt;APUComponentDto&gt; Components,</w:t>
      </w:r>
    </w:p>
    <w:p>
      <w:pPr>
        <w:pStyle w:val="CodeBlock"/>
      </w:pPr>
      <w:r>
        <w:rPr>
          <w:rFonts w:ascii="Consolas" w:cs="Consolas" w:eastAsia="Consolas" w:hAnsi="Consolas"/>
          <w:color w:val="2F4F4F"/>
          <w:sz w:val="17"/>
          <w:szCs w:val="17"/>
        </w:rPr>
        <w:t xml:space="preserve">    int UsageCount, double AverageConfidence, string Source);</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APUComponentDto(</w:t>
      </w:r>
    </w:p>
    <w:p>
      <w:pPr>
        <w:pStyle w:val="CodeBlock"/>
      </w:pPr>
      <w:r>
        <w:rPr>
          <w:rFonts w:ascii="Consolas" w:cs="Consolas" w:eastAsia="Consolas" w:hAnsi="Consolas"/>
          <w:color w:val="2F4F4F"/>
          <w:sz w:val="17"/>
          <w:szCs w:val="17"/>
        </w:rPr>
        <w:t xml:space="preserve">    string Description, string ComponentType, string Unit, decimal Yield);</w:t>
      </w:r>
    </w:p>
    <w:p>
      <w:pPr>
        <w:pStyle w:val="CodeBlock"/>
      </w:pPr>
      <w:r>
        <w:rPr>
          <w:rFonts w:ascii="Consolas" w:cs="Consolas" w:eastAsia="Consolas" w:hAnsi="Consolas"/>
          <w:color w:val="2F4F4F"/>
          <w:sz w:val="17"/>
          <w:szCs w:val="17"/>
        </w:rPr>
        <w:t xml:space="preserve">    // NOTE: NO price field here. Prices are determined in Phase 6.</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CanonicalConceptDto(</w:t>
      </w:r>
    </w:p>
    <w:p>
      <w:pPr>
        <w:pStyle w:val="CodeBlock"/>
      </w:pPr>
      <w:r>
        <w:rPr>
          <w:rFonts w:ascii="Consolas" w:cs="Consolas" w:eastAsia="Consolas" w:hAnsi="Consolas"/>
          <w:color w:val="2F4F4F"/>
          <w:sz w:val="17"/>
          <w:szCs w:val="17"/>
        </w:rPr>
        <w:t xml:space="preserve">    string Id, string Category, string Subcategory,</w:t>
      </w:r>
    </w:p>
    <w:p>
      <w:pPr>
        <w:pStyle w:val="CodeBlock"/>
      </w:pPr>
      <w:r>
        <w:rPr>
          <w:rFonts w:ascii="Consolas" w:cs="Consolas" w:eastAsia="Consolas" w:hAnsi="Consolas"/>
          <w:color w:val="2F4F4F"/>
          <w:sz w:val="17"/>
          <w:szCs w:val="17"/>
        </w:rPr>
        <w:t xml:space="preserve">    string DefaultUnit, Dictionary&lt;string, string&gt; Translations);</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SaveAPUTemplateRequest(</w:t>
      </w:r>
    </w:p>
    <w:p>
      <w:pPr>
        <w:pStyle w:val="CodeBlock"/>
      </w:pPr>
      <w:r>
        <w:rPr>
          <w:rFonts w:ascii="Consolas" w:cs="Consolas" w:eastAsia="Consolas" w:hAnsi="Consolas"/>
          <w:color w:val="2F4F4F"/>
          <w:sz w:val="17"/>
          <w:szCs w:val="17"/>
        </w:rPr>
        <w:t xml:space="preserve">    string CanonicalConceptId, string Description, string ProjectType,</w:t>
      </w:r>
    </w:p>
    <w:p>
      <w:pPr>
        <w:pStyle w:val="CodeBlock"/>
      </w:pPr>
      <w:r>
        <w:rPr>
          <w:rFonts w:ascii="Consolas" w:cs="Consolas" w:eastAsia="Consolas" w:hAnsi="Consolas"/>
          <w:color w:val="2F4F4F"/>
          <w:sz w:val="17"/>
          <w:szCs w:val="17"/>
        </w:rPr>
        <w:t xml:space="preserve">    string GeoRegion, string Unit, double YieldHoursPerUnit,</w:t>
      </w:r>
    </w:p>
    <w:p>
      <w:pPr>
        <w:pStyle w:val="CodeBlock"/>
      </w:pPr>
      <w:r>
        <w:rPr>
          <w:rFonts w:ascii="Consolas" w:cs="Consolas" w:eastAsia="Consolas" w:hAnsi="Consolas"/>
          <w:color w:val="2F4F4F"/>
          <w:sz w:val="17"/>
          <w:szCs w:val="17"/>
        </w:rPr>
        <w:t xml:space="preserve">    IReadOnlyList&lt;APUComponentDto&gt; Components, string Source);</w:t>
      </w:r>
    </w:p>
    <w:p>
      <w:pPr>
        <w:pBdr>
          <w:bottom w:val="single" w:color="CCCCCC" w:sz="2"/>
        </w:pBdr>
        <w:spacing w:after="120" w:before="120"/>
      </w:pPr>
      <w:r>
        <w:t xml:space="preserve"/>
      </w:r>
    </w:p>
    <w:p>
      <w:pPr>
        <w:pStyle w:val="Heading1"/>
      </w:pPr>
      <w:bookmarkStart w:name="s4" w:id="1"/>
      <w:r>
        <w:t xml:space="preserve">4. MCP Module — IMCPClient</w:t>
      </w:r>
      <w:bookmarkEnd w:id="1"/>
    </w:p>
    <w:p>
      <w:r>
        <w:rPr>
          <w:sz w:val="22"/>
          <w:szCs w:val="22"/>
        </w:rPr>
        <w:t xml:space="preserve">The MCP module provides price queries to the provider network. Used by the Projects module (Phase 6: Valuation). Stateless service — no knowledge of project state.</w:t>
      </w:r>
    </w:p>
    <w:p>
      <w:pPr>
        <w:pStyle w:val="CodeBlock"/>
      </w:pPr>
      <w:r>
        <w:rPr>
          <w:rFonts w:ascii="Consolas" w:cs="Consolas" w:eastAsia="Consolas" w:hAnsi="Consolas"/>
          <w:color w:val="2F4F4F"/>
          <w:sz w:val="17"/>
          <w:szCs w:val="17"/>
        </w:rPr>
        <w:t xml:space="preserve">namespace Kynakee.Modules.MCP.Contracts;</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&lt;summary&gt;</w:t>
      </w:r>
    </w:p>
    <w:p>
      <w:pPr>
        <w:pStyle w:val="CodeBlock"/>
      </w:pPr>
      <w:r>
        <w:rPr>
          <w:rFonts w:ascii="Consolas" w:cs="Consolas" w:eastAsia="Consolas" w:hAnsi="Consolas"/>
          <w:color w:val="2F4F4F"/>
          <w:sz w:val="17"/>
          <w:szCs w:val="17"/>
        </w:rPr>
        <w:t xml:space="preserve">/// Public contract for the MCP module.</w:t>
      </w:r>
    </w:p>
    <w:p>
      <w:pPr>
        <w:pStyle w:val="CodeBlock"/>
      </w:pPr>
      <w:r>
        <w:rPr>
          <w:rFonts w:ascii="Consolas" w:cs="Consolas" w:eastAsia="Consolas" w:hAnsi="Consolas"/>
          <w:color w:val="2F4F4F"/>
          <w:sz w:val="17"/>
          <w:szCs w:val="17"/>
        </w:rPr>
        <w:t xml:space="preserve">/// Used by: Projects (Phase 6 Valuation)</w:t>
      </w:r>
    </w:p>
    <w:p>
      <w:pPr>
        <w:pStyle w:val="CodeBlock"/>
      </w:pPr>
      <w:r>
        <w:rPr>
          <w:rFonts w:ascii="Consolas" w:cs="Consolas" w:eastAsia="Consolas" w:hAnsi="Consolas"/>
          <w:color w:val="2F4F4F"/>
          <w:sz w:val="17"/>
          <w:szCs w:val="17"/>
        </w:rPr>
        <w:t xml:space="preserve">/// &lt;/summary&gt;</w:t>
      </w:r>
    </w:p>
    <w:p>
      <w:pPr>
        <w:pStyle w:val="CodeBlock"/>
      </w:pPr>
      <w:r>
        <w:rPr>
          <w:rFonts w:ascii="Consolas" w:cs="Consolas" w:eastAsia="Consolas" w:hAnsi="Consolas"/>
          <w:color w:val="2F4F4F"/>
          <w:sz w:val="17"/>
          <w:szCs w:val="17"/>
        </w:rPr>
        <w:t xml:space="preserve">public interface IMCPClient</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Task&lt;Result&lt;MCPQueryResult&gt;&gt; QueryPriceAsync(</w:t>
      </w:r>
    </w:p>
    <w:p>
      <w:pPr>
        <w:pStyle w:val="CodeBlock"/>
      </w:pPr>
      <w:r>
        <w:rPr>
          <w:rFonts w:ascii="Consolas" w:cs="Consolas" w:eastAsia="Consolas" w:hAnsi="Consolas"/>
          <w:color w:val="2F4F4F"/>
          <w:sz w:val="17"/>
          <w:szCs w:val="17"/>
        </w:rPr>
        <w:t xml:space="preserve">        MCPPriceQuery query,</w:t>
      </w:r>
    </w:p>
    <w:p>
      <w:pPr>
        <w:pStyle w:val="CodeBlock"/>
      </w:pPr>
      <w:r>
        <w:rPr>
          <w:rFonts w:ascii="Consolas" w:cs="Consolas" w:eastAsia="Consolas" w:hAnsi="Consolas"/>
          <w:color w:val="2F4F4F"/>
          <w:sz w:val="17"/>
          <w:szCs w:val="17"/>
        </w:rPr>
        <w:t xml:space="preserve">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Task&lt;Result&lt;IReadOnlyList&lt;MCPProviderSummaryDto&gt;&gt;&gt; GetAvailableProvidersAsync(</w:t>
      </w:r>
    </w:p>
    <w:p>
      <w:pPr>
        <w:pStyle w:val="CodeBlock"/>
      </w:pPr>
      <w:r>
        <w:rPr>
          <w:rFonts w:ascii="Consolas" w:cs="Consolas" w:eastAsia="Consolas" w:hAnsi="Consolas"/>
          <w:color w:val="2F4F4F"/>
          <w:sz w:val="17"/>
          <w:szCs w:val="17"/>
        </w:rPr>
        <w:t xml:space="preserve">        string geoRegion,</w:t>
      </w:r>
    </w:p>
    <w:p>
      <w:pPr>
        <w:pStyle w:val="CodeBlock"/>
      </w:pPr>
      <w:r>
        <w:rPr>
          <w:rFonts w:ascii="Consolas" w:cs="Consolas" w:eastAsia="Consolas" w:hAnsi="Consolas"/>
          <w:color w:val="2F4F4F"/>
          <w:sz w:val="17"/>
          <w:szCs w:val="17"/>
        </w:rPr>
        <w:t xml:space="preserve">        string category,</w:t>
      </w:r>
    </w:p>
    <w:p>
      <w:pPr>
        <w:pStyle w:val="CodeBlock"/>
      </w:pPr>
      <w:r>
        <w:rPr>
          <w:rFonts w:ascii="Consolas" w:cs="Consolas" w:eastAsia="Consolas" w:hAnsi="Consolas"/>
          <w:color w:val="2F4F4F"/>
          <w:sz w:val="17"/>
          <w:szCs w:val="17"/>
        </w:rPr>
        <w:t xml:space="preserve">        CancellationToken ct);</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MCPPriceQuery(</w:t>
      </w:r>
    </w:p>
    <w:p>
      <w:pPr>
        <w:pStyle w:val="CodeBlock"/>
      </w:pPr>
      <w:r>
        <w:rPr>
          <w:rFonts w:ascii="Consolas" w:cs="Consolas" w:eastAsia="Consolas" w:hAnsi="Consolas"/>
          <w:color w:val="2F4F4F"/>
          <w:sz w:val="17"/>
          <w:szCs w:val="17"/>
        </w:rPr>
        <w:t xml:space="preserve">    string CanonicalConceptId,</w:t>
      </w:r>
    </w:p>
    <w:p>
      <w:pPr>
        <w:pStyle w:val="CodeBlock"/>
      </w:pPr>
      <w:r>
        <w:rPr>
          <w:rFonts w:ascii="Consolas" w:cs="Consolas" w:eastAsia="Consolas" w:hAnsi="Consolas"/>
          <w:color w:val="2F4F4F"/>
          <w:sz w:val="17"/>
          <w:szCs w:val="17"/>
        </w:rPr>
        <w:t xml:space="preserve">    string ComponentType,   // Material|Labor|Equipment|Subcontract|Transport</w:t>
      </w:r>
    </w:p>
    <w:p>
      <w:pPr>
        <w:pStyle w:val="CodeBlock"/>
      </w:pPr>
      <w:r>
        <w:rPr>
          <w:rFonts w:ascii="Consolas" w:cs="Consolas" w:eastAsia="Consolas" w:hAnsi="Consolas"/>
          <w:color w:val="2F4F4F"/>
          <w:sz w:val="17"/>
          <w:szCs w:val="17"/>
        </w:rPr>
        <w:t xml:space="preserve">    string Unit,</w:t>
      </w:r>
    </w:p>
    <w:p>
      <w:pPr>
        <w:pStyle w:val="CodeBlock"/>
      </w:pPr>
      <w:r>
        <w:rPr>
          <w:rFonts w:ascii="Consolas" w:cs="Consolas" w:eastAsia="Consolas" w:hAnsi="Consolas"/>
          <w:color w:val="2F4F4F"/>
          <w:sz w:val="17"/>
          <w:szCs w:val="17"/>
        </w:rPr>
        <w:t xml:space="preserve">    decimal Quantity,</w:t>
      </w:r>
    </w:p>
    <w:p>
      <w:pPr>
        <w:pStyle w:val="CodeBlock"/>
      </w:pPr>
      <w:r>
        <w:rPr>
          <w:rFonts w:ascii="Consolas" w:cs="Consolas" w:eastAsia="Consolas" w:hAnsi="Consolas"/>
          <w:color w:val="2F4F4F"/>
          <w:sz w:val="17"/>
          <w:szCs w:val="17"/>
        </w:rPr>
        <w:t xml:space="preserve">    string GeoRegion,</w:t>
      </w:r>
    </w:p>
    <w:p>
      <w:pPr>
        <w:pStyle w:val="CodeBlock"/>
      </w:pPr>
      <w:r>
        <w:rPr>
          <w:rFonts w:ascii="Consolas" w:cs="Consolas" w:eastAsia="Consolas" w:hAnsi="Consolas"/>
          <w:color w:val="2F4F4F"/>
          <w:sz w:val="17"/>
          <w:szCs w:val="17"/>
        </w:rPr>
        <w:t xml:space="preserve">    string PostalCode);</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MCPQueryResult(</w:t>
      </w:r>
    </w:p>
    <w:p>
      <w:pPr>
        <w:pStyle w:val="CodeBlock"/>
      </w:pPr>
      <w:r>
        <w:rPr>
          <w:rFonts w:ascii="Consolas" w:cs="Consolas" w:eastAsia="Consolas" w:hAnsi="Consolas"/>
          <w:color w:val="2F4F4F"/>
          <w:sz w:val="17"/>
          <w:szCs w:val="17"/>
        </w:rPr>
        <w:t xml:space="preserve">    bool Success,</w:t>
      </w:r>
    </w:p>
    <w:p>
      <w:pPr>
        <w:pStyle w:val="CodeBlock"/>
      </w:pPr>
      <w:r>
        <w:rPr>
          <w:rFonts w:ascii="Consolas" w:cs="Consolas" w:eastAsia="Consolas" w:hAnsi="Consolas"/>
          <w:color w:val="2F4F4F"/>
          <w:sz w:val="17"/>
          <w:szCs w:val="17"/>
        </w:rPr>
        <w:t xml:space="preserve">    decimal? Price,</w:t>
      </w:r>
    </w:p>
    <w:p>
      <w:pPr>
        <w:pStyle w:val="CodeBlock"/>
      </w:pPr>
      <w:r>
        <w:rPr>
          <w:rFonts w:ascii="Consolas" w:cs="Consolas" w:eastAsia="Consolas" w:hAnsi="Consolas"/>
          <w:color w:val="2F4F4F"/>
          <w:sz w:val="17"/>
          <w:szCs w:val="17"/>
        </w:rPr>
        <w:t xml:space="preserve">    string? Currency,</w:t>
      </w:r>
    </w:p>
    <w:p>
      <w:pPr>
        <w:pStyle w:val="CodeBlock"/>
      </w:pPr>
      <w:r>
        <w:rPr>
          <w:rFonts w:ascii="Consolas" w:cs="Consolas" w:eastAsia="Consolas" w:hAnsi="Consolas"/>
          <w:color w:val="2F4F4F"/>
          <w:sz w:val="17"/>
          <w:szCs w:val="17"/>
        </w:rPr>
        <w:t xml:space="preserve">    string? ProviderName,</w:t>
      </w:r>
    </w:p>
    <w:p>
      <w:pPr>
        <w:pStyle w:val="CodeBlock"/>
      </w:pPr>
      <w:r>
        <w:rPr>
          <w:rFonts w:ascii="Consolas" w:cs="Consolas" w:eastAsia="Consolas" w:hAnsi="Consolas"/>
          <w:color w:val="2F4F4F"/>
          <w:sz w:val="17"/>
          <w:szCs w:val="17"/>
        </w:rPr>
        <w:t xml:space="preserve">    string? FallbackSource,  // null|Cache|Internet</w:t>
      </w:r>
    </w:p>
    <w:p>
      <w:pPr>
        <w:pStyle w:val="CodeBlock"/>
      </w:pPr>
      <w:r>
        <w:rPr>
          <w:rFonts w:ascii="Consolas" w:cs="Consolas" w:eastAsia="Consolas" w:hAnsi="Consolas"/>
          <w:color w:val="2F4F4F"/>
          <w:sz w:val="17"/>
          <w:szCs w:val="17"/>
        </w:rPr>
        <w:t xml:space="preserve">    double Confidence,</w:t>
      </w:r>
    </w:p>
    <w:p>
      <w:pPr>
        <w:pStyle w:val="CodeBlock"/>
      </w:pPr>
      <w:r>
        <w:rPr>
          <w:rFonts w:ascii="Consolas" w:cs="Consolas" w:eastAsia="Consolas" w:hAnsi="Consolas"/>
          <w:color w:val="2F4F4F"/>
          <w:sz w:val="17"/>
          <w:szCs w:val="17"/>
        </w:rPr>
        <w:t xml:space="preserve">    DateTime QueriedAt);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MCPProviderSummaryDto(</w:t>
      </w:r>
    </w:p>
    <w:p>
      <w:pPr>
        <w:pStyle w:val="CodeBlock"/>
      </w:pPr>
      <w:r>
        <w:rPr>
          <w:rFonts w:ascii="Consolas" w:cs="Consolas" w:eastAsia="Consolas" w:hAnsi="Consolas"/>
          <w:color w:val="2F4F4F"/>
          <w:sz w:val="17"/>
          <w:szCs w:val="17"/>
        </w:rPr>
        <w:t xml:space="preserve">    Guid Id, string Name, string Subdomain,</w:t>
      </w:r>
    </w:p>
    <w:p>
      <w:pPr>
        <w:pStyle w:val="CodeBlock"/>
      </w:pPr>
      <w:r>
        <w:rPr>
          <w:rFonts w:ascii="Consolas" w:cs="Consolas" w:eastAsia="Consolas" w:hAnsi="Consolas"/>
          <w:color w:val="2F4F4F"/>
          <w:sz w:val="17"/>
          <w:szCs w:val="17"/>
        </w:rPr>
        <w:t xml:space="preserve">    string[] Categories, string[] GeoRegions,</w:t>
      </w:r>
    </w:p>
    <w:p>
      <w:pPr>
        <w:pStyle w:val="CodeBlock"/>
      </w:pPr>
      <w:r>
        <w:rPr>
          <w:rFonts w:ascii="Consolas" w:cs="Consolas" w:eastAsia="Consolas" w:hAnsi="Consolas"/>
          <w:color w:val="2F4F4F"/>
          <w:sz w:val="17"/>
          <w:szCs w:val="17"/>
        </w:rPr>
        <w:t xml:space="preserve">    double Rating, string Status);</w:t>
      </w:r>
    </w:p>
    <w:p>
      <w:pPr>
        <w:pBdr>
          <w:bottom w:val="single" w:color="CCCCCC" w:sz="2"/>
        </w:pBdr>
        <w:spacing w:after="120" w:before="120"/>
      </w:pPr>
      <w:r>
        <w:t xml:space="preserve"/>
      </w:r>
    </w:p>
    <w:p>
      <w:pPr>
        <w:pStyle w:val="Heading1"/>
      </w:pPr>
      <w:bookmarkStart w:name="s5" w:id="1"/>
      <w:r>
        <w:t xml:space="preserve">5. AI Module — IKynakeeAgentService</w:t>
      </w:r>
      <w:bookmarkEnd w:id="1"/>
    </w:p>
    <w:p>
      <w:r>
        <w:rPr>
          <w:sz w:val="22"/>
          <w:szCs w:val="22"/>
        </w:rPr>
        <w:t xml:space="preserve">The AI module is a stateless processing service. It receives context from the Projects module, processes it via Microsoft Agents Framework, and returns structured results. It has NO knowledge of Project state.</w:t>
      </w:r>
    </w:p>
    <w:p>
      <w:pPr>
        <w:pStyle w:val="CodeBlock"/>
      </w:pPr>
      <w:r>
        <w:rPr>
          <w:rFonts w:ascii="Consolas" w:cs="Consolas" w:eastAsia="Consolas" w:hAnsi="Consolas"/>
          <w:color w:val="2F4F4F"/>
          <w:sz w:val="17"/>
          <w:szCs w:val="17"/>
        </w:rPr>
        <w:t xml:space="preserve">namespace Kynakee.Modules.AI.Contracts;</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&lt;summary&gt;</w:t>
      </w:r>
    </w:p>
    <w:p>
      <w:pPr>
        <w:pStyle w:val="CodeBlock"/>
      </w:pPr>
      <w:r>
        <w:rPr>
          <w:rFonts w:ascii="Consolas" w:cs="Consolas" w:eastAsia="Consolas" w:hAnsi="Consolas"/>
          <w:color w:val="2F4F4F"/>
          <w:sz w:val="17"/>
          <w:szCs w:val="17"/>
        </w:rPr>
        <w:t xml:space="preserve">/// Public contract for the AI module.</w:t>
      </w:r>
    </w:p>
    <w:p>
      <w:pPr>
        <w:pStyle w:val="CodeBlock"/>
      </w:pPr>
      <w:r>
        <w:rPr>
          <w:rFonts w:ascii="Consolas" w:cs="Consolas" w:eastAsia="Consolas" w:hAnsi="Consolas"/>
          <w:color w:val="2F4F4F"/>
          <w:sz w:val="17"/>
          <w:szCs w:val="17"/>
        </w:rPr>
        <w:t xml:space="preserve">/// Used by: Projects (all AI phases), Bots, KnowledgeBase (embeddings)</w:t>
      </w:r>
    </w:p>
    <w:p>
      <w:pPr>
        <w:pStyle w:val="CodeBlock"/>
      </w:pPr>
      <w:r>
        <w:rPr>
          <w:rFonts w:ascii="Consolas" w:cs="Consolas" w:eastAsia="Consolas" w:hAnsi="Consolas"/>
          <w:color w:val="2F4F4F"/>
          <w:sz w:val="17"/>
          <w:szCs w:val="17"/>
        </w:rPr>
        <w:t xml:space="preserve">/// CRITICAL: This is the ONLY way to call AI. Never call providers directly.</w:t>
      </w:r>
    </w:p>
    <w:p>
      <w:pPr>
        <w:pStyle w:val="CodeBlock"/>
      </w:pPr>
      <w:r>
        <w:rPr>
          <w:rFonts w:ascii="Consolas" w:cs="Consolas" w:eastAsia="Consolas" w:hAnsi="Consolas"/>
          <w:color w:val="2F4F4F"/>
          <w:sz w:val="17"/>
          <w:szCs w:val="17"/>
        </w:rPr>
        <w:t xml:space="preserve">/// &lt;/summary&gt;</w:t>
      </w:r>
    </w:p>
    <w:p>
      <w:pPr>
        <w:pStyle w:val="CodeBlock"/>
      </w:pPr>
      <w:r>
        <w:rPr>
          <w:rFonts w:ascii="Consolas" w:cs="Consolas" w:eastAsia="Consolas" w:hAnsi="Consolas"/>
          <w:color w:val="2F4F4F"/>
          <w:sz w:val="17"/>
          <w:szCs w:val="17"/>
        </w:rPr>
        <w:t xml:space="preserve">public interface IKynakeeAgentService</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 ── Phase agents ──</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Task&lt;Result&lt;CaptureAnalysisResult&gt;&gt; RunCaptureAgentAsync(</w:t>
      </w:r>
    </w:p>
    <w:p>
      <w:pPr>
        <w:pStyle w:val="CodeBlock"/>
      </w:pPr>
      <w:r>
        <w:rPr>
          <w:rFonts w:ascii="Consolas" w:cs="Consolas" w:eastAsia="Consolas" w:hAnsi="Consolas"/>
          <w:color w:val="2F4F4F"/>
          <w:sz w:val="17"/>
          <w:szCs w:val="17"/>
        </w:rPr>
        <w:t xml:space="preserve">        CaptureAgentRequest request,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Task&lt;Result&lt;IReadOnlyList&lt;ExtractedWorkItem&gt;&gt;&gt; RunScopeAgentAsync(</w:t>
      </w:r>
    </w:p>
    <w:p>
      <w:pPr>
        <w:pStyle w:val="CodeBlock"/>
      </w:pPr>
      <w:r>
        <w:rPr>
          <w:rFonts w:ascii="Consolas" w:cs="Consolas" w:eastAsia="Consolas" w:hAnsi="Consolas"/>
          <w:color w:val="2F4F4F"/>
          <w:sz w:val="17"/>
          <w:szCs w:val="17"/>
        </w:rPr>
        <w:t xml:space="preserve">        ScopeAgentRequest request,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Task&lt;Result&lt;APUStructureResult&gt;&gt; RunProductionAgentAsync(</w:t>
      </w:r>
    </w:p>
    <w:p>
      <w:pPr>
        <w:pStyle w:val="CodeBlock"/>
      </w:pPr>
      <w:r>
        <w:rPr>
          <w:rFonts w:ascii="Consolas" w:cs="Consolas" w:eastAsia="Consolas" w:hAnsi="Consolas"/>
          <w:color w:val="2F4F4F"/>
          <w:sz w:val="17"/>
          <w:szCs w:val="17"/>
        </w:rPr>
        <w:t xml:space="preserve">        ProductionAgentRequest request,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Task&lt;Result&lt;ScheduleResult&gt;&gt; RunPlanningAgentAsync(</w:t>
      </w:r>
    </w:p>
    <w:p>
      <w:pPr>
        <w:pStyle w:val="CodeBlock"/>
      </w:pPr>
      <w:r>
        <w:rPr>
          <w:rFonts w:ascii="Consolas" w:cs="Consolas" w:eastAsia="Consolas" w:hAnsi="Consolas"/>
          <w:color w:val="2F4F4F"/>
          <w:sz w:val="17"/>
          <w:szCs w:val="17"/>
        </w:rPr>
        <w:t xml:space="preserve">        PlanningAgentRequest request,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Task&lt;Result&lt;ValuationResult&gt;&gt; RunValuationAgentAsync(</w:t>
      </w:r>
    </w:p>
    <w:p>
      <w:pPr>
        <w:pStyle w:val="CodeBlock"/>
      </w:pPr>
      <w:r>
        <w:rPr>
          <w:rFonts w:ascii="Consolas" w:cs="Consolas" w:eastAsia="Consolas" w:hAnsi="Consolas"/>
          <w:color w:val="2F4F4F"/>
          <w:sz w:val="17"/>
          <w:szCs w:val="17"/>
        </w:rPr>
        <w:t xml:space="preserve">        ValuationAgentRequest request,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Task&lt;Result&lt;OfferNarrativeResult&gt;&gt; RunOfferAgentAsync(</w:t>
      </w:r>
    </w:p>
    <w:p>
      <w:pPr>
        <w:pStyle w:val="CodeBlock"/>
      </w:pPr>
      <w:r>
        <w:rPr>
          <w:rFonts w:ascii="Consolas" w:cs="Consolas" w:eastAsia="Consolas" w:hAnsi="Consolas"/>
          <w:color w:val="2F4F4F"/>
          <w:sz w:val="17"/>
          <w:szCs w:val="17"/>
        </w:rPr>
        <w:t xml:space="preserve">        OfferAgentRequest request,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 ── Conversation agent (used by Bots module) ──</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Task&lt;Result&lt;ConversationResponse&gt;&gt; RunConversationAgentAsync(</w:t>
      </w:r>
    </w:p>
    <w:p>
      <w:pPr>
        <w:pStyle w:val="CodeBlock"/>
      </w:pPr>
      <w:r>
        <w:rPr>
          <w:rFonts w:ascii="Consolas" w:cs="Consolas" w:eastAsia="Consolas" w:hAnsi="Consolas"/>
          <w:color w:val="2F4F4F"/>
          <w:sz w:val="17"/>
          <w:szCs w:val="17"/>
        </w:rPr>
        <w:t xml:space="preserve">        ConversationAgentRequest request,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 ── Embedding service (used by KnowledgeBase module) ──</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Task&lt;Result&lt;float[]&gt;&gt; GenerateEmbeddingAsync(</w:t>
      </w:r>
    </w:p>
    <w:p>
      <w:pPr>
        <w:pStyle w:val="CodeBlock"/>
      </w:pPr>
      <w:r>
        <w:rPr>
          <w:rFonts w:ascii="Consolas" w:cs="Consolas" w:eastAsia="Consolas" w:hAnsi="Consolas"/>
          <w:color w:val="2F4F4F"/>
          <w:sz w:val="17"/>
          <w:szCs w:val="17"/>
        </w:rPr>
        <w:t xml:space="preserve">        string text, CancellationToken ct);</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Key request/response types</w:t>
      </w:r>
    </w:p>
    <w:p>
      <w:pPr>
        <w:pStyle w:val="CodeBlock"/>
      </w:pPr>
      <w:r>
        <w:rPr>
          <w:rFonts w:ascii="Consolas" w:cs="Consolas" w:eastAsia="Consolas" w:hAnsi="Consolas"/>
          <w:color w:val="2F4F4F"/>
          <w:sz w:val="17"/>
          <w:szCs w:val="17"/>
        </w:rPr>
        <w:t xml:space="preserve">public record CaptureAgentRequest(</w:t>
      </w:r>
    </w:p>
    <w:p>
      <w:pPr>
        <w:pStyle w:val="CodeBlock"/>
      </w:pPr>
      <w:r>
        <w:rPr>
          <w:rFonts w:ascii="Consolas" w:cs="Consolas" w:eastAsia="Consolas" w:hAnsi="Consolas"/>
          <w:color w:val="2F4F4F"/>
          <w:sz w:val="17"/>
          <w:szCs w:val="17"/>
        </w:rPr>
        <w:t xml:space="preserve">    Guid ProjectId, Guid TenantId,</w:t>
      </w:r>
    </w:p>
    <w:p>
      <w:pPr>
        <w:pStyle w:val="CodeBlock"/>
      </w:pPr>
      <w:r>
        <w:rPr>
          <w:rFonts w:ascii="Consolas" w:cs="Consolas" w:eastAsia="Consolas" w:hAnsi="Consolas"/>
          <w:color w:val="2F4F4F"/>
          <w:sz w:val="17"/>
          <w:szCs w:val="17"/>
        </w:rPr>
        <w:t xml:space="preserve">    IReadOnlyList&lt;MediaFileRef&gt; MediaFiles,</w:t>
      </w:r>
    </w:p>
    <w:p>
      <w:pPr>
        <w:pStyle w:val="CodeBlock"/>
      </w:pPr>
      <w:r>
        <w:rPr>
          <w:rFonts w:ascii="Consolas" w:cs="Consolas" w:eastAsia="Consolas" w:hAnsi="Consolas"/>
          <w:color w:val="2F4F4F"/>
          <w:sz w:val="17"/>
          <w:szCs w:val="17"/>
        </w:rPr>
        <w:t xml:space="preserve">    IReadOnlyList&lt;MeasurementRef&gt; Measurements,</w:t>
      </w:r>
    </w:p>
    <w:p>
      <w:pPr>
        <w:pStyle w:val="CodeBlock"/>
      </w:pPr>
      <w:r>
        <w:rPr>
          <w:rFonts w:ascii="Consolas" w:cs="Consolas" w:eastAsia="Consolas" w:hAnsi="Consolas"/>
          <w:color w:val="2F4F4F"/>
          <w:sz w:val="17"/>
          <w:szCs w:val="17"/>
        </w:rPr>
        <w:t xml:space="preserve">    IReadOnlyList&lt;string&gt; Transcriptions);</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CaptureAnalysisResult(</w:t>
      </w:r>
    </w:p>
    <w:p>
      <w:pPr>
        <w:pStyle w:val="CodeBlock"/>
      </w:pPr>
      <w:r>
        <w:rPr>
          <w:rFonts w:ascii="Consolas" w:cs="Consolas" w:eastAsia="Consolas" w:hAnsi="Consolas"/>
          <w:color w:val="2F4F4F"/>
          <w:sz w:val="17"/>
          <w:szCs w:val="17"/>
        </w:rPr>
        <w:t xml:space="preserve">    IReadOnlyList&lt;ExtractedWorkItem&gt; WorkItems,</w:t>
      </w:r>
    </w:p>
    <w:p>
      <w:pPr>
        <w:pStyle w:val="CodeBlock"/>
      </w:pPr>
      <w:r>
        <w:rPr>
          <w:rFonts w:ascii="Consolas" w:cs="Consolas" w:eastAsia="Consolas" w:hAnsi="Consolas"/>
          <w:color w:val="2F4F4F"/>
          <w:sz w:val="17"/>
          <w:szCs w:val="17"/>
        </w:rPr>
        <w:t xml:space="preserve">    IReadOnlyList&lt;string&gt; Observations,</w:t>
      </w:r>
    </w:p>
    <w:p>
      <w:pPr>
        <w:pStyle w:val="CodeBlock"/>
      </w:pPr>
      <w:r>
        <w:rPr>
          <w:rFonts w:ascii="Consolas" w:cs="Consolas" w:eastAsia="Consolas" w:hAnsi="Consolas"/>
          <w:color w:val="2F4F4F"/>
          <w:sz w:val="17"/>
          <w:szCs w:val="17"/>
        </w:rPr>
        <w:t xml:space="preserve">    int TokensConsumed, double Confidence);</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ExtractedWorkItem(</w:t>
      </w:r>
    </w:p>
    <w:p>
      <w:pPr>
        <w:pStyle w:val="CodeBlock"/>
      </w:pPr>
      <w:r>
        <w:rPr>
          <w:rFonts w:ascii="Consolas" w:cs="Consolas" w:eastAsia="Consolas" w:hAnsi="Consolas"/>
          <w:color w:val="2F4F4F"/>
          <w:sz w:val="17"/>
          <w:szCs w:val="17"/>
        </w:rPr>
        <w:t xml:space="preserve">    string CanonicalConceptId, string Description,</w:t>
      </w:r>
    </w:p>
    <w:p>
      <w:pPr>
        <w:pStyle w:val="CodeBlock"/>
      </w:pPr>
      <w:r>
        <w:rPr>
          <w:rFonts w:ascii="Consolas" w:cs="Consolas" w:eastAsia="Consolas" w:hAnsi="Consolas"/>
          <w:color w:val="2F4F4F"/>
          <w:sz w:val="17"/>
          <w:szCs w:val="17"/>
        </w:rPr>
        <w:t xml:space="preserve">    string Unit, decimal Quantity, string Location,</w:t>
      </w:r>
    </w:p>
    <w:p>
      <w:pPr>
        <w:pStyle w:val="CodeBlock"/>
      </w:pPr>
      <w:r>
        <w:rPr>
          <w:rFonts w:ascii="Consolas" w:cs="Consolas" w:eastAsia="Consolas" w:hAnsi="Consolas"/>
          <w:color w:val="2F4F4F"/>
          <w:sz w:val="17"/>
          <w:szCs w:val="17"/>
        </w:rPr>
        <w:t xml:space="preserve">    double Confidence, string AIStatus);</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ConversationAgentRequest(</w:t>
      </w:r>
    </w:p>
    <w:p>
      <w:pPr>
        <w:pStyle w:val="CodeBlock"/>
      </w:pPr>
      <w:r>
        <w:rPr>
          <w:rFonts w:ascii="Consolas" w:cs="Consolas" w:eastAsia="Consolas" w:hAnsi="Consolas"/>
          <w:color w:val="2F4F4F"/>
          <w:sz w:val="17"/>
          <w:szCs w:val="17"/>
        </w:rPr>
        <w:t xml:space="preserve">    Guid TenantId, string Channel,</w:t>
      </w:r>
    </w:p>
    <w:p>
      <w:pPr>
        <w:pStyle w:val="CodeBlock"/>
      </w:pPr>
      <w:r>
        <w:rPr>
          <w:rFonts w:ascii="Consolas" w:cs="Consolas" w:eastAsia="Consolas" w:hAnsi="Consolas"/>
          <w:color w:val="2F4F4F"/>
          <w:sz w:val="17"/>
          <w:szCs w:val="17"/>
        </w:rPr>
        <w:t xml:space="preserve">    string UserMessage, string ConversationHistory,</w:t>
      </w:r>
    </w:p>
    <w:p>
      <w:pPr>
        <w:pStyle w:val="CodeBlock"/>
      </w:pPr>
      <w:r>
        <w:rPr>
          <w:rFonts w:ascii="Consolas" w:cs="Consolas" w:eastAsia="Consolas" w:hAnsi="Consolas"/>
          <w:color w:val="2F4F4F"/>
          <w:sz w:val="17"/>
          <w:szCs w:val="17"/>
        </w:rPr>
        <w:t xml:space="preserve">    string? ActiveProjectPhase, string? ActiveProjectName);</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ConversationResponse(</w:t>
      </w:r>
    </w:p>
    <w:p>
      <w:pPr>
        <w:pStyle w:val="CodeBlock"/>
      </w:pPr>
      <w:r>
        <w:rPr>
          <w:rFonts w:ascii="Consolas" w:cs="Consolas" w:eastAsia="Consolas" w:hAnsi="Consolas"/>
          <w:color w:val="2F4F4F"/>
          <w:sz w:val="17"/>
          <w:szCs w:val="17"/>
        </w:rPr>
        <w:t xml:space="preserve">    string Message, string? SuggestedAction,</w:t>
      </w:r>
    </w:p>
    <w:p>
      <w:pPr>
        <w:pStyle w:val="CodeBlock"/>
      </w:pPr>
      <w:r>
        <w:rPr>
          <w:rFonts w:ascii="Consolas" w:cs="Consolas" w:eastAsia="Consolas" w:hAnsi="Consolas"/>
          <w:color w:val="2F4F4F"/>
          <w:sz w:val="17"/>
          <w:szCs w:val="17"/>
        </w:rPr>
        <w:t xml:space="preserve">    bool RequiresHumanInput, int TokensConsumed);</w:t>
      </w:r>
    </w:p>
    <w:p>
      <w:pPr>
        <w:pBdr>
          <w:bottom w:val="single" w:color="CCCCCC" w:sz="2"/>
        </w:pBdr>
        <w:spacing w:after="120" w:before="120"/>
      </w:pPr>
      <w:r>
        <w:t xml:space="preserve"/>
      </w:r>
    </w:p>
    <w:p>
      <w:pPr>
        <w:pStyle w:val="Heading1"/>
      </w:pPr>
      <w:bookmarkStart w:name="s6" w:id="1"/>
      <w:r>
        <w:t xml:space="preserve">6. Bots Module — IBotNotificationService</w:t>
      </w:r>
      <w:bookmarkEnd w:id="1"/>
    </w:p>
    <w:p>
      <w:r>
        <w:rPr>
          <w:sz w:val="22"/>
          <w:szCs w:val="22"/>
        </w:rPr>
        <w:t xml:space="preserve">The Bots module exposes a notification service so other modules can push messages to users via Telegram or WhatsApp. The Bots module itself dispatches commands to the Projects module via MediatR.</w:t>
      </w:r>
    </w:p>
    <w:p>
      <w:pPr>
        <w:pStyle w:val="CodeBlock"/>
      </w:pPr>
      <w:r>
        <w:rPr>
          <w:rFonts w:ascii="Consolas" w:cs="Consolas" w:eastAsia="Consolas" w:hAnsi="Consolas"/>
          <w:color w:val="2F4F4F"/>
          <w:sz w:val="17"/>
          <w:szCs w:val="17"/>
        </w:rPr>
        <w:t xml:space="preserve">namespace Kynakee.Modules.Bots.Contracts;</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&lt;summary&gt;</w:t>
      </w:r>
    </w:p>
    <w:p>
      <w:pPr>
        <w:pStyle w:val="CodeBlock"/>
      </w:pPr>
      <w:r>
        <w:rPr>
          <w:rFonts w:ascii="Consolas" w:cs="Consolas" w:eastAsia="Consolas" w:hAnsi="Consolas"/>
          <w:color w:val="2F4F4F"/>
          <w:sz w:val="17"/>
          <w:szCs w:val="17"/>
        </w:rPr>
        <w:t xml:space="preserve">/// Public contract for the Bots module.</w:t>
      </w:r>
    </w:p>
    <w:p>
      <w:pPr>
        <w:pStyle w:val="CodeBlock"/>
      </w:pPr>
      <w:r>
        <w:rPr>
          <w:rFonts w:ascii="Consolas" w:cs="Consolas" w:eastAsia="Consolas" w:hAnsi="Consolas"/>
          <w:color w:val="2F4F4F"/>
          <w:sz w:val="17"/>
          <w:szCs w:val="17"/>
        </w:rPr>
        <w:t xml:space="preserve">/// Used by: Projects (phase notifications), Billing (credit alerts)</w:t>
      </w:r>
    </w:p>
    <w:p>
      <w:pPr>
        <w:pStyle w:val="CodeBlock"/>
      </w:pPr>
      <w:r>
        <w:rPr>
          <w:rFonts w:ascii="Consolas" w:cs="Consolas" w:eastAsia="Consolas" w:hAnsi="Consolas"/>
          <w:color w:val="2F4F4F"/>
          <w:sz w:val="17"/>
          <w:szCs w:val="17"/>
        </w:rPr>
        <w:t xml:space="preserve">/// &lt;/summary&gt;</w:t>
      </w:r>
    </w:p>
    <w:p>
      <w:pPr>
        <w:pStyle w:val="CodeBlock"/>
      </w:pPr>
      <w:r>
        <w:rPr>
          <w:rFonts w:ascii="Consolas" w:cs="Consolas" w:eastAsia="Consolas" w:hAnsi="Consolas"/>
          <w:color w:val="2F4F4F"/>
          <w:sz w:val="17"/>
          <w:szCs w:val="17"/>
        </w:rPr>
        <w:t xml:space="preserve">public interface IBotNotificationService</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Task&lt;Result&gt; SendMessageAsync(</w:t>
      </w:r>
    </w:p>
    <w:p>
      <w:pPr>
        <w:pStyle w:val="CodeBlock"/>
      </w:pPr>
      <w:r>
        <w:rPr>
          <w:rFonts w:ascii="Consolas" w:cs="Consolas" w:eastAsia="Consolas" w:hAnsi="Consolas"/>
          <w:color w:val="2F4F4F"/>
          <w:sz w:val="17"/>
          <w:szCs w:val="17"/>
        </w:rPr>
        <w:t xml:space="preserve">        Guid tenantId,</w:t>
      </w:r>
    </w:p>
    <w:p>
      <w:pPr>
        <w:pStyle w:val="CodeBlock"/>
      </w:pPr>
      <w:r>
        <w:rPr>
          <w:rFonts w:ascii="Consolas" w:cs="Consolas" w:eastAsia="Consolas" w:hAnsi="Consolas"/>
          <w:color w:val="2F4F4F"/>
          <w:sz w:val="17"/>
          <w:szCs w:val="17"/>
        </w:rPr>
        <w:t xml:space="preserve">        string externalConversationId,</w:t>
      </w:r>
    </w:p>
    <w:p>
      <w:pPr>
        <w:pStyle w:val="CodeBlock"/>
      </w:pPr>
      <w:r>
        <w:rPr>
          <w:rFonts w:ascii="Consolas" w:cs="Consolas" w:eastAsia="Consolas" w:hAnsi="Consolas"/>
          <w:color w:val="2F4F4F"/>
          <w:sz w:val="17"/>
          <w:szCs w:val="17"/>
        </w:rPr>
        <w:t xml:space="preserve">        string channel,</w:t>
      </w:r>
    </w:p>
    <w:p>
      <w:pPr>
        <w:pStyle w:val="CodeBlock"/>
      </w:pPr>
      <w:r>
        <w:rPr>
          <w:rFonts w:ascii="Consolas" w:cs="Consolas" w:eastAsia="Consolas" w:hAnsi="Consolas"/>
          <w:color w:val="2F4F4F"/>
          <w:sz w:val="17"/>
          <w:szCs w:val="17"/>
        </w:rPr>
        <w:t xml:space="preserve">        BotMessage message,</w:t>
      </w:r>
    </w:p>
    <w:p>
      <w:pPr>
        <w:pStyle w:val="CodeBlock"/>
      </w:pPr>
      <w:r>
        <w:rPr>
          <w:rFonts w:ascii="Consolas" w:cs="Consolas" w:eastAsia="Consolas" w:hAnsi="Consolas"/>
          <w:color w:val="2F4F4F"/>
          <w:sz w:val="17"/>
          <w:szCs w:val="17"/>
        </w:rPr>
        <w:t xml:space="preserve">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Task&lt;Result&gt; SendPhaseCompletedNotificationAsync(</w:t>
      </w:r>
    </w:p>
    <w:p>
      <w:pPr>
        <w:pStyle w:val="CodeBlock"/>
      </w:pPr>
      <w:r>
        <w:rPr>
          <w:rFonts w:ascii="Consolas" w:cs="Consolas" w:eastAsia="Consolas" w:hAnsi="Consolas"/>
          <w:color w:val="2F4F4F"/>
          <w:sz w:val="17"/>
          <w:szCs w:val="17"/>
        </w:rPr>
        <w:t xml:space="preserve">        Guid tenantId,</w:t>
      </w:r>
    </w:p>
    <w:p>
      <w:pPr>
        <w:pStyle w:val="CodeBlock"/>
      </w:pPr>
      <w:r>
        <w:rPr>
          <w:rFonts w:ascii="Consolas" w:cs="Consolas" w:eastAsia="Consolas" w:hAnsi="Consolas"/>
          <w:color w:val="2F4F4F"/>
          <w:sz w:val="17"/>
          <w:szCs w:val="17"/>
        </w:rPr>
        <w:t xml:space="preserve">        Guid projectId,</w:t>
      </w:r>
    </w:p>
    <w:p>
      <w:pPr>
        <w:pStyle w:val="CodeBlock"/>
      </w:pPr>
      <w:r>
        <w:rPr>
          <w:rFonts w:ascii="Consolas" w:cs="Consolas" w:eastAsia="Consolas" w:hAnsi="Consolas"/>
          <w:color w:val="2F4F4F"/>
          <w:sz w:val="17"/>
          <w:szCs w:val="17"/>
        </w:rPr>
        <w:t xml:space="preserve">        string newPhase,</w:t>
      </w:r>
    </w:p>
    <w:p>
      <w:pPr>
        <w:pStyle w:val="CodeBlock"/>
      </w:pPr>
      <w:r>
        <w:rPr>
          <w:rFonts w:ascii="Consolas" w:cs="Consolas" w:eastAsia="Consolas" w:hAnsi="Consolas"/>
          <w:color w:val="2F4F4F"/>
          <w:sz w:val="17"/>
          <w:szCs w:val="17"/>
        </w:rPr>
        <w:t xml:space="preserve">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Task&lt;Result&gt; SendCreditAlertAsync(</w:t>
      </w:r>
    </w:p>
    <w:p>
      <w:pPr>
        <w:pStyle w:val="CodeBlock"/>
      </w:pPr>
      <w:r>
        <w:rPr>
          <w:rFonts w:ascii="Consolas" w:cs="Consolas" w:eastAsia="Consolas" w:hAnsi="Consolas"/>
          <w:color w:val="2F4F4F"/>
          <w:sz w:val="17"/>
          <w:szCs w:val="17"/>
        </w:rPr>
        <w:t xml:space="preserve">        Guid tenantId,</w:t>
      </w:r>
    </w:p>
    <w:p>
      <w:pPr>
        <w:pStyle w:val="CodeBlock"/>
      </w:pPr>
      <w:r>
        <w:rPr>
          <w:rFonts w:ascii="Consolas" w:cs="Consolas" w:eastAsia="Consolas" w:hAnsi="Consolas"/>
          <w:color w:val="2F4F4F"/>
          <w:sz w:val="17"/>
          <w:szCs w:val="17"/>
        </w:rPr>
        <w:t xml:space="preserve">        decimal remainingCredits,</w:t>
      </w:r>
    </w:p>
    <w:p>
      <w:pPr>
        <w:pStyle w:val="CodeBlock"/>
      </w:pPr>
      <w:r>
        <w:rPr>
          <w:rFonts w:ascii="Consolas" w:cs="Consolas" w:eastAsia="Consolas" w:hAnsi="Consolas"/>
          <w:color w:val="2F4F4F"/>
          <w:sz w:val="17"/>
          <w:szCs w:val="17"/>
        </w:rPr>
        <w:t xml:space="preserve">        string alertType,  // Low|Depleted</w:t>
      </w:r>
    </w:p>
    <w:p>
      <w:pPr>
        <w:pStyle w:val="CodeBlock"/>
      </w:pPr>
      <w:r>
        <w:rPr>
          <w:rFonts w:ascii="Consolas" w:cs="Consolas" w:eastAsia="Consolas" w:hAnsi="Consolas"/>
          <w:color w:val="2F4F4F"/>
          <w:sz w:val="17"/>
          <w:szCs w:val="17"/>
        </w:rPr>
        <w:t xml:space="preserve">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Task&lt;Result&gt; SendOfferReadyNotificationAsync(</w:t>
      </w:r>
    </w:p>
    <w:p>
      <w:pPr>
        <w:pStyle w:val="CodeBlock"/>
      </w:pPr>
      <w:r>
        <w:rPr>
          <w:rFonts w:ascii="Consolas" w:cs="Consolas" w:eastAsia="Consolas" w:hAnsi="Consolas"/>
          <w:color w:val="2F4F4F"/>
          <w:sz w:val="17"/>
          <w:szCs w:val="17"/>
        </w:rPr>
        <w:t xml:space="preserve">        Guid tenantId,</w:t>
      </w:r>
    </w:p>
    <w:p>
      <w:pPr>
        <w:pStyle w:val="CodeBlock"/>
      </w:pPr>
      <w:r>
        <w:rPr>
          <w:rFonts w:ascii="Consolas" w:cs="Consolas" w:eastAsia="Consolas" w:hAnsi="Consolas"/>
          <w:color w:val="2F4F4F"/>
          <w:sz w:val="17"/>
          <w:szCs w:val="17"/>
        </w:rPr>
        <w:t xml:space="preserve">        Guid projectId,</w:t>
      </w:r>
    </w:p>
    <w:p>
      <w:pPr>
        <w:pStyle w:val="CodeBlock"/>
      </w:pPr>
      <w:r>
        <w:rPr>
          <w:rFonts w:ascii="Consolas" w:cs="Consolas" w:eastAsia="Consolas" w:hAnsi="Consolas"/>
          <w:color w:val="2F4F4F"/>
          <w:sz w:val="17"/>
          <w:szCs w:val="17"/>
        </w:rPr>
        <w:t xml:space="preserve">        string pdfUrl,</w:t>
      </w:r>
    </w:p>
    <w:p>
      <w:pPr>
        <w:pStyle w:val="CodeBlock"/>
      </w:pPr>
      <w:r>
        <w:rPr>
          <w:rFonts w:ascii="Consolas" w:cs="Consolas" w:eastAsia="Consolas" w:hAnsi="Consolas"/>
          <w:color w:val="2F4F4F"/>
          <w:sz w:val="17"/>
          <w:szCs w:val="17"/>
        </w:rPr>
        <w:t xml:space="preserve">        CancellationToken ct);</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BotMessage(</w:t>
      </w:r>
    </w:p>
    <w:p>
      <w:pPr>
        <w:pStyle w:val="CodeBlock"/>
      </w:pPr>
      <w:r>
        <w:rPr>
          <w:rFonts w:ascii="Consolas" w:cs="Consolas" w:eastAsia="Consolas" w:hAnsi="Consolas"/>
          <w:color w:val="2F4F4F"/>
          <w:sz w:val="17"/>
          <w:szCs w:val="17"/>
        </w:rPr>
        <w:t xml:space="preserve">    string Text,</w:t>
      </w:r>
    </w:p>
    <w:p>
      <w:pPr>
        <w:pStyle w:val="CodeBlock"/>
      </w:pPr>
      <w:r>
        <w:rPr>
          <w:rFonts w:ascii="Consolas" w:cs="Consolas" w:eastAsia="Consolas" w:hAnsi="Consolas"/>
          <w:color w:val="2F4F4F"/>
          <w:sz w:val="17"/>
          <w:szCs w:val="17"/>
        </w:rPr>
        <w:t xml:space="preserve">    BotMessageType Type,</w:t>
      </w:r>
    </w:p>
    <w:p>
      <w:pPr>
        <w:pStyle w:val="CodeBlock"/>
      </w:pPr>
      <w:r>
        <w:rPr>
          <w:rFonts w:ascii="Consolas" w:cs="Consolas" w:eastAsia="Consolas" w:hAnsi="Consolas"/>
          <w:color w:val="2F4F4F"/>
          <w:sz w:val="17"/>
          <w:szCs w:val="17"/>
        </w:rPr>
        <w:t xml:space="preserve">    string? ActionButton = null,</w:t>
      </w:r>
    </w:p>
    <w:p>
      <w:pPr>
        <w:pStyle w:val="CodeBlock"/>
      </w:pPr>
      <w:r>
        <w:rPr>
          <w:rFonts w:ascii="Consolas" w:cs="Consolas" w:eastAsia="Consolas" w:hAnsi="Consolas"/>
          <w:color w:val="2F4F4F"/>
          <w:sz w:val="17"/>
          <w:szCs w:val="17"/>
        </w:rPr>
        <w:t xml:space="preserve">    string? ActionPayload = null);</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enum BotMessageType { Info, Success, Warning, Error, Question }</w:t>
      </w:r>
    </w:p>
    <w:p>
      <w:pPr>
        <w:pBdr>
          <w:bottom w:val="single" w:color="CCCCCC" w:sz="2"/>
        </w:pBdr>
        <w:spacing w:after="120" w:before="120"/>
      </w:pPr>
      <w:r>
        <w:t xml:space="preserve"/>
      </w:r>
    </w:p>
    <w:p>
      <w:pPr>
        <w:pStyle w:val="Heading1"/>
      </w:pPr>
      <w:bookmarkStart w:name="s7" w:id="1"/>
      <w:r>
        <w:t xml:space="preserve">7. Billing Module — IBillingService</w:t>
      </w:r>
      <w:bookmarkEnd w:id="1"/>
    </w:p>
    <w:p>
      <w:r>
        <w:rPr>
          <w:sz w:val="22"/>
          <w:szCs w:val="22"/>
        </w:rPr>
        <w:t xml:space="preserve">The Billing module manages credits and subscriptions. Used by the Projects module (via TokenGateBehavior) and the Identity module (tenant creation).</w:t>
      </w:r>
    </w:p>
    <w:p>
      <w:pPr>
        <w:pStyle w:val="CodeBlock"/>
      </w:pPr>
      <w:r>
        <w:rPr>
          <w:rFonts w:ascii="Consolas" w:cs="Consolas" w:eastAsia="Consolas" w:hAnsi="Consolas"/>
          <w:color w:val="2F4F4F"/>
          <w:sz w:val="17"/>
          <w:szCs w:val="17"/>
        </w:rPr>
        <w:t xml:space="preserve">namespace Kynakee.Modules.Billing.Contracts;</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&lt;summary&gt;</w:t>
      </w:r>
    </w:p>
    <w:p>
      <w:pPr>
        <w:pStyle w:val="CodeBlock"/>
      </w:pPr>
      <w:r>
        <w:rPr>
          <w:rFonts w:ascii="Consolas" w:cs="Consolas" w:eastAsia="Consolas" w:hAnsi="Consolas"/>
          <w:color w:val="2F4F4F"/>
          <w:sz w:val="17"/>
          <w:szCs w:val="17"/>
        </w:rPr>
        <w:t xml:space="preserve">/// Public contract for the Billing module.</w:t>
      </w:r>
    </w:p>
    <w:p>
      <w:pPr>
        <w:pStyle w:val="CodeBlock"/>
      </w:pPr>
      <w:r>
        <w:rPr>
          <w:rFonts w:ascii="Consolas" w:cs="Consolas" w:eastAsia="Consolas" w:hAnsi="Consolas"/>
          <w:color w:val="2F4F4F"/>
          <w:sz w:val="17"/>
          <w:szCs w:val="17"/>
        </w:rPr>
        <w:t xml:space="preserve">/// Used by: Projects (TokenGateBehavior), Identity (tenant creation)</w:t>
      </w:r>
    </w:p>
    <w:p>
      <w:pPr>
        <w:pStyle w:val="CodeBlock"/>
      </w:pPr>
      <w:r>
        <w:rPr>
          <w:rFonts w:ascii="Consolas" w:cs="Consolas" w:eastAsia="Consolas" w:hAnsi="Consolas"/>
          <w:color w:val="2F4F4F"/>
          <w:sz w:val="17"/>
          <w:szCs w:val="17"/>
        </w:rPr>
        <w:t xml:space="preserve">/// &lt;/summary&gt;</w:t>
      </w:r>
    </w:p>
    <w:p>
      <w:pPr>
        <w:pStyle w:val="CodeBlock"/>
      </w:pPr>
      <w:r>
        <w:rPr>
          <w:rFonts w:ascii="Consolas" w:cs="Consolas" w:eastAsia="Consolas" w:hAnsi="Consolas"/>
          <w:color w:val="2F4F4F"/>
          <w:sz w:val="17"/>
          <w:szCs w:val="17"/>
        </w:rPr>
        <w:t xml:space="preserve">public interface IBillingService</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 ── Credit operations (called by TokenGateBehavior) ──</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Task&lt;Result&lt;CreditReservation&gt;&gt; ReserveCreditsAsync(</w:t>
      </w:r>
    </w:p>
    <w:p>
      <w:pPr>
        <w:pStyle w:val="CodeBlock"/>
      </w:pPr>
      <w:r>
        <w:rPr>
          <w:rFonts w:ascii="Consolas" w:cs="Consolas" w:eastAsia="Consolas" w:hAnsi="Consolas"/>
          <w:color w:val="2F4F4F"/>
          <w:sz w:val="17"/>
          <w:szCs w:val="17"/>
        </w:rPr>
        <w:t xml:space="preserve">        Guid tenantId, decimal amount, Guid operationId,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Task&lt;Result&gt; ConsumeCreditsAsync(</w:t>
      </w:r>
    </w:p>
    <w:p>
      <w:pPr>
        <w:pStyle w:val="CodeBlock"/>
      </w:pPr>
      <w:r>
        <w:rPr>
          <w:rFonts w:ascii="Consolas" w:cs="Consolas" w:eastAsia="Consolas" w:hAnsi="Consolas"/>
          <w:color w:val="2F4F4F"/>
          <w:sz w:val="17"/>
          <w:szCs w:val="17"/>
        </w:rPr>
        <w:t xml:space="preserve">        Guid tenantId, Guid operationId,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Task&lt;Result&gt; ReleaseCreditsAsync(</w:t>
      </w:r>
    </w:p>
    <w:p>
      <w:pPr>
        <w:pStyle w:val="CodeBlock"/>
      </w:pPr>
      <w:r>
        <w:rPr>
          <w:rFonts w:ascii="Consolas" w:cs="Consolas" w:eastAsia="Consolas" w:hAnsi="Consolas"/>
          <w:color w:val="2F4F4F"/>
          <w:sz w:val="17"/>
          <w:szCs w:val="17"/>
        </w:rPr>
        <w:t xml:space="preserve">        Guid tenantId, Guid operationId,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 ── Balance queries ──</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Task&lt;Result&lt;CreditBalanceDto&gt;&gt; GetBalanceAsync(</w:t>
      </w:r>
    </w:p>
    <w:p>
      <w:pPr>
        <w:pStyle w:val="CodeBlock"/>
      </w:pPr>
      <w:r>
        <w:rPr>
          <w:rFonts w:ascii="Consolas" w:cs="Consolas" w:eastAsia="Consolas" w:hAnsi="Consolas"/>
          <w:color w:val="2F4F4F"/>
          <w:sz w:val="17"/>
          <w:szCs w:val="17"/>
        </w:rPr>
        <w:t xml:space="preserve">        Guid tenantId,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Task&lt;Result&lt;bool&gt;&gt; HasSufficientCreditsAsync(</w:t>
      </w:r>
    </w:p>
    <w:p>
      <w:pPr>
        <w:pStyle w:val="CodeBlock"/>
      </w:pPr>
      <w:r>
        <w:rPr>
          <w:rFonts w:ascii="Consolas" w:cs="Consolas" w:eastAsia="Consolas" w:hAnsi="Consolas"/>
          <w:color w:val="2F4F4F"/>
          <w:sz w:val="17"/>
          <w:szCs w:val="17"/>
        </w:rPr>
        <w:t xml:space="preserve">        Guid tenantId, decimal requiredAmount,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 ── Tenant initialization (called by Identity on tenant creation) ──</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Task&lt;Result&gt; InitializeCreditAccountAsync(</w:t>
      </w:r>
    </w:p>
    <w:p>
      <w:pPr>
        <w:pStyle w:val="CodeBlock"/>
      </w:pPr>
      <w:r>
        <w:rPr>
          <w:rFonts w:ascii="Consolas" w:cs="Consolas" w:eastAsia="Consolas" w:hAnsi="Consolas"/>
          <w:color w:val="2F4F4F"/>
          <w:sz w:val="17"/>
          <w:szCs w:val="17"/>
        </w:rPr>
        <w:t xml:space="preserve">        Guid tenantId, string planId, CancellationToken ct);</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CreditReservation(</w:t>
      </w:r>
    </w:p>
    <w:p>
      <w:pPr>
        <w:pStyle w:val="CodeBlock"/>
      </w:pPr>
      <w:r>
        <w:rPr>
          <w:rFonts w:ascii="Consolas" w:cs="Consolas" w:eastAsia="Consolas" w:hAnsi="Consolas"/>
          <w:color w:val="2F4F4F"/>
          <w:sz w:val="17"/>
          <w:szCs w:val="17"/>
        </w:rPr>
        <w:t xml:space="preserve">    Guid OperationId, decimal Amount, DateTime ExpiresAt);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CreditBalanceDto(</w:t>
      </w:r>
    </w:p>
    <w:p>
      <w:pPr>
        <w:pStyle w:val="CodeBlock"/>
      </w:pPr>
      <w:r>
        <w:rPr>
          <w:rFonts w:ascii="Consolas" w:cs="Consolas" w:eastAsia="Consolas" w:hAnsi="Consolas"/>
          <w:color w:val="2F4F4F"/>
          <w:sz w:val="17"/>
          <w:szCs w:val="17"/>
        </w:rPr>
        <w:t xml:space="preserve">    decimal AvailableCredits, decimal ReservedCredits,</w:t>
      </w:r>
    </w:p>
    <w:p>
      <w:pPr>
        <w:pStyle w:val="CodeBlock"/>
      </w:pPr>
      <w:r>
        <w:rPr>
          <w:rFonts w:ascii="Consolas" w:cs="Consolas" w:eastAsia="Consolas" w:hAnsi="Consolas"/>
          <w:color w:val="2F4F4F"/>
          <w:sz w:val="17"/>
          <w:szCs w:val="17"/>
        </w:rPr>
        <w:t xml:space="preserve">    string PlanId, DateTime? NextRenewalDate);</w:t>
      </w:r>
    </w:p>
    <w:p>
      <w:pPr>
        <w:pBdr>
          <w:bottom w:val="single" w:color="CCCCCC" w:sz="2"/>
        </w:pBdr>
        <w:spacing w:after="120" w:before="120"/>
      </w:pPr>
      <w:r>
        <w:t xml:space="preserve"/>
      </w:r>
    </w:p>
    <w:p>
      <w:pPr>
        <w:pStyle w:val="Heading1"/>
      </w:pPr>
      <w:bookmarkStart w:name="s8" w:id="1"/>
      <w:r>
        <w:t xml:space="preserve">8. Identity Module — IIdentityService</w:t>
      </w:r>
      <w:bookmarkEnd w:id="1"/>
    </w:p>
    <w:p>
      <w:r>
        <w:rPr>
          <w:sz w:val="22"/>
          <w:szCs w:val="22"/>
        </w:rPr>
        <w:t xml:space="preserve">The Identity module provides tenant and user information to other modules. Used by YARP (JWT validation) and any module that needs to resolve tenant context.</w:t>
      </w:r>
    </w:p>
    <w:p>
      <w:pPr>
        <w:pStyle w:val="CodeBlock"/>
      </w:pPr>
      <w:r>
        <w:rPr>
          <w:rFonts w:ascii="Consolas" w:cs="Consolas" w:eastAsia="Consolas" w:hAnsi="Consolas"/>
          <w:color w:val="2F4F4F"/>
          <w:sz w:val="17"/>
          <w:szCs w:val="17"/>
        </w:rPr>
        <w:t xml:space="preserve">namespace Kynakee.Modules.Identity.Contracts;</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&lt;summary&gt;</w:t>
      </w:r>
    </w:p>
    <w:p>
      <w:pPr>
        <w:pStyle w:val="CodeBlock"/>
      </w:pPr>
      <w:r>
        <w:rPr>
          <w:rFonts w:ascii="Consolas" w:cs="Consolas" w:eastAsia="Consolas" w:hAnsi="Consolas"/>
          <w:color w:val="2F4F4F"/>
          <w:sz w:val="17"/>
          <w:szCs w:val="17"/>
        </w:rPr>
        <w:t xml:space="preserve">/// Public contract for the Identity module.</w:t>
      </w:r>
    </w:p>
    <w:p>
      <w:pPr>
        <w:pStyle w:val="CodeBlock"/>
      </w:pPr>
      <w:r>
        <w:rPr>
          <w:rFonts w:ascii="Consolas" w:cs="Consolas" w:eastAsia="Consolas" w:hAnsi="Consolas"/>
          <w:color w:val="2F4F4F"/>
          <w:sz w:val="17"/>
          <w:szCs w:val="17"/>
        </w:rPr>
        <w:t xml:space="preserve">/// Used by: YARP (JWT), all modules (tenant context)</w:t>
      </w:r>
    </w:p>
    <w:p>
      <w:pPr>
        <w:pStyle w:val="CodeBlock"/>
      </w:pPr>
      <w:r>
        <w:rPr>
          <w:rFonts w:ascii="Consolas" w:cs="Consolas" w:eastAsia="Consolas" w:hAnsi="Consolas"/>
          <w:color w:val="2F4F4F"/>
          <w:sz w:val="17"/>
          <w:szCs w:val="17"/>
        </w:rPr>
        <w:t xml:space="preserve">/// &lt;/summary&gt;</w:t>
      </w:r>
    </w:p>
    <w:p>
      <w:pPr>
        <w:pStyle w:val="CodeBlock"/>
      </w:pPr>
      <w:r>
        <w:rPr>
          <w:rFonts w:ascii="Consolas" w:cs="Consolas" w:eastAsia="Consolas" w:hAnsi="Consolas"/>
          <w:color w:val="2F4F4F"/>
          <w:sz w:val="17"/>
          <w:szCs w:val="17"/>
        </w:rPr>
        <w:t xml:space="preserve">public interface IIdentityService</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Task&lt;Result&lt;TenantDto?&gt;&gt; GetTenantAsync(</w:t>
      </w:r>
    </w:p>
    <w:p>
      <w:pPr>
        <w:pStyle w:val="CodeBlock"/>
      </w:pPr>
      <w:r>
        <w:rPr>
          <w:rFonts w:ascii="Consolas" w:cs="Consolas" w:eastAsia="Consolas" w:hAnsi="Consolas"/>
          <w:color w:val="2F4F4F"/>
          <w:sz w:val="17"/>
          <w:szCs w:val="17"/>
        </w:rPr>
        <w:t xml:space="preserve">        Guid tenantId,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Task&lt;Result&lt;TenantDto?&gt;&gt; GetTenantBySlugAsync(</w:t>
      </w:r>
    </w:p>
    <w:p>
      <w:pPr>
        <w:pStyle w:val="CodeBlock"/>
      </w:pPr>
      <w:r>
        <w:rPr>
          <w:rFonts w:ascii="Consolas" w:cs="Consolas" w:eastAsia="Consolas" w:hAnsi="Consolas"/>
          <w:color w:val="2F4F4F"/>
          <w:sz w:val="17"/>
          <w:szCs w:val="17"/>
        </w:rPr>
        <w:t xml:space="preserve">        string slug,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Task&lt;Result&lt;UserDto?&gt;&gt; GetUserAsync(</w:t>
      </w:r>
    </w:p>
    <w:p>
      <w:pPr>
        <w:pStyle w:val="CodeBlock"/>
      </w:pPr>
      <w:r>
        <w:rPr>
          <w:rFonts w:ascii="Consolas" w:cs="Consolas" w:eastAsia="Consolas" w:hAnsi="Consolas"/>
          <w:color w:val="2F4F4F"/>
          <w:sz w:val="17"/>
          <w:szCs w:val="17"/>
        </w:rPr>
        <w:t xml:space="preserve">        Guid userId, Guid tenantId,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Task&lt;Result&lt;CompanySettingsDto&gt;&gt; GetCompanySettingsAsync(</w:t>
      </w:r>
    </w:p>
    <w:p>
      <w:pPr>
        <w:pStyle w:val="CodeBlock"/>
      </w:pPr>
      <w:r>
        <w:rPr>
          <w:rFonts w:ascii="Consolas" w:cs="Consolas" w:eastAsia="Consolas" w:hAnsi="Consolas"/>
          <w:color w:val="2F4F4F"/>
          <w:sz w:val="17"/>
          <w:szCs w:val="17"/>
        </w:rPr>
        <w:t xml:space="preserve">        Guid tenantId, CancellationToken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Task&lt;Result&lt;bool&gt;&gt; ValidateUserRoleAsync(</w:t>
      </w:r>
    </w:p>
    <w:p>
      <w:pPr>
        <w:pStyle w:val="CodeBlock"/>
      </w:pPr>
      <w:r>
        <w:rPr>
          <w:rFonts w:ascii="Consolas" w:cs="Consolas" w:eastAsia="Consolas" w:hAnsi="Consolas"/>
          <w:color w:val="2F4F4F"/>
          <w:sz w:val="17"/>
          <w:szCs w:val="17"/>
        </w:rPr>
        <w:t xml:space="preserve">        Guid userId, Guid tenantId, string requiredRole, CancellationToken ct);</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TenantDto(</w:t>
      </w:r>
    </w:p>
    <w:p>
      <w:pPr>
        <w:pStyle w:val="CodeBlock"/>
      </w:pPr>
      <w:r>
        <w:rPr>
          <w:rFonts w:ascii="Consolas" w:cs="Consolas" w:eastAsia="Consolas" w:hAnsi="Consolas"/>
          <w:color w:val="2F4F4F"/>
          <w:sz w:val="17"/>
          <w:szCs w:val="17"/>
        </w:rPr>
        <w:t xml:space="preserve">    Guid Id, string Name, string Slug, string TenantType,</w:t>
      </w:r>
    </w:p>
    <w:p>
      <w:pPr>
        <w:pStyle w:val="CodeBlock"/>
      </w:pPr>
      <w:r>
        <w:rPr>
          <w:rFonts w:ascii="Consolas" w:cs="Consolas" w:eastAsia="Consolas" w:hAnsi="Consolas"/>
          <w:color w:val="2F4F4F"/>
          <w:sz w:val="17"/>
          <w:szCs w:val="17"/>
        </w:rPr>
        <w:t xml:space="preserve">    string PlanId, string Status, CompanySettingsDto Settings);</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UserDto(</w:t>
      </w:r>
    </w:p>
    <w:p>
      <w:pPr>
        <w:pStyle w:val="CodeBlock"/>
      </w:pPr>
      <w:r>
        <w:rPr>
          <w:rFonts w:ascii="Consolas" w:cs="Consolas" w:eastAsia="Consolas" w:hAnsi="Consolas"/>
          <w:color w:val="2F4F4F"/>
          <w:sz w:val="17"/>
          <w:szCs w:val="17"/>
        </w:rPr>
        <w:t xml:space="preserve">    Guid Id, string FirstName, string LastName,</w:t>
      </w:r>
    </w:p>
    <w:p>
      <w:pPr>
        <w:pStyle w:val="CodeBlock"/>
      </w:pPr>
      <w:r>
        <w:rPr>
          <w:rFonts w:ascii="Consolas" w:cs="Consolas" w:eastAsia="Consolas" w:hAnsi="Consolas"/>
          <w:color w:val="2F4F4F"/>
          <w:sz w:val="17"/>
          <w:szCs w:val="17"/>
        </w:rPr>
        <w:t xml:space="preserve">    string Email, string Role, string Status);</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CompanySettingsDto(</w:t>
      </w:r>
    </w:p>
    <w:p>
      <w:pPr>
        <w:pStyle w:val="CodeBlock"/>
      </w:pPr>
      <w:r>
        <w:rPr>
          <w:rFonts w:ascii="Consolas" w:cs="Consolas" w:eastAsia="Consolas" w:hAnsi="Consolas"/>
          <w:color w:val="2F4F4F"/>
          <w:sz w:val="17"/>
          <w:szCs w:val="17"/>
        </w:rPr>
        <w:t xml:space="preserve">    decimal Administration, decimal Profit, decimal Quality,</w:t>
      </w:r>
    </w:p>
    <w:p>
      <w:pPr>
        <w:pStyle w:val="CodeBlock"/>
      </w:pPr>
      <w:r>
        <w:rPr>
          <w:rFonts w:ascii="Consolas" w:cs="Consolas" w:eastAsia="Consolas" w:hAnsi="Consolas"/>
          <w:color w:val="2F4F4F"/>
          <w:sz w:val="17"/>
          <w:szCs w:val="17"/>
        </w:rPr>
        <w:t xml:space="preserve">    decimal SafetyHealth, decimal Environment, decimal Contingency);</w:t>
      </w:r>
    </w:p>
    <w:p>
      <w:pPr>
        <w:pBdr>
          <w:bottom w:val="single" w:color="CCCCCC" w:sz="2"/>
        </w:pBdr>
        <w:spacing w:after="120" w:before="120"/>
      </w:pPr>
      <w:r>
        <w:t xml:space="preserve"/>
      </w:r>
    </w:p>
    <w:p>
      <w:r>
        <w:br w:type="page"/>
      </w:r>
    </w:p>
    <w:p>
      <w:pPr>
        <w:pStyle w:val="Heading1"/>
      </w:pPr>
      <w:bookmarkStart w:name="s9" w:id="1"/>
      <w:r>
        <w:t xml:space="preserve">9. Cross-Module Communication Rules</w:t>
      </w:r>
      <w:bookmarkEnd w:id="1"/>
    </w:p>
    <w:p>
      <w:pPr>
        <w:pStyle w:val="Heading2"/>
      </w:pPr>
      <w:r>
        <w:t xml:space="preserve">Synchronous Communication (In-Process)</w:t>
      </w:r>
    </w:p>
    <w:p>
      <w:r>
        <w:rPr>
          <w:sz w:val="22"/>
          <w:szCs w:val="22"/>
        </w:rPr>
        <w:t xml:space="preserve">Use the public interfaces above. Inject via DI. All methods return Result&lt;T&gt;.</w:t>
      </w:r>
    </w:p>
    <w:p>
      <w:pPr>
        <w:pStyle w:val="CodeBlock"/>
      </w:pPr>
      <w:r>
        <w:rPr>
          <w:rFonts w:ascii="Consolas" w:cs="Consolas" w:eastAsia="Consolas" w:hAnsi="Consolas"/>
          <w:color w:val="2F4F4F"/>
          <w:sz w:val="17"/>
          <w:szCs w:val="17"/>
        </w:rPr>
        <w:t xml:space="preserve">// ✅ CORRECT: Inject and use public interface</w:t>
      </w:r>
    </w:p>
    <w:p>
      <w:pPr>
        <w:pStyle w:val="CodeBlock"/>
      </w:pPr>
      <w:r>
        <w:rPr>
          <w:rFonts w:ascii="Consolas" w:cs="Consolas" w:eastAsia="Consolas" w:hAnsi="Consolas"/>
          <w:color w:val="2F4F4F"/>
          <w:sz w:val="17"/>
          <w:szCs w:val="17"/>
        </w:rPr>
        <w:t xml:space="preserve">public class AssignAPUsCommandHandler</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private readonly IKnowledgeBaseService _knowledgeBase;</w:t>
      </w:r>
    </w:p>
    <w:p>
      <w:pPr>
        <w:pStyle w:val="CodeBlock"/>
      </w:pPr>
      <w:r>
        <w:rPr>
          <w:rFonts w:ascii="Consolas" w:cs="Consolas" w:eastAsia="Consolas" w:hAnsi="Consolas"/>
          <w:color w:val="2F4F4F"/>
          <w:sz w:val="17"/>
          <w:szCs w:val="17"/>
        </w:rPr>
        <w:t xml:space="preserve">    private readonly IKynakeeAgentService _agentService;</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public async Task&lt;Result&lt;OperationId&gt;&gt; Handle(AssignAPUsCommand cmd, CancellationToken ct)</w:t>
      </w:r>
    </w:p>
    <w:p>
      <w:pPr>
        <w:pStyle w:val="CodeBlock"/>
      </w:pPr>
      <w:r>
        <w:rPr>
          <w:rFonts w:ascii="Consolas" w:cs="Consolas" w:eastAsia="Consolas" w:hAnsi="Consolas"/>
          <w:color w:val="2F4F4F"/>
          <w:sz w:val="17"/>
          <w:szCs w:val="17"/>
        </w:rPr>
        <w:t xml:space="preserve">    {</w:t>
      </w:r>
    </w:p>
    <w:p>
      <w:pPr>
        <w:pStyle w:val="CodeBlock"/>
      </w:pPr>
      <w:r>
        <w:rPr>
          <w:rFonts w:ascii="Consolas" w:cs="Consolas" w:eastAsia="Consolas" w:hAnsi="Consolas"/>
          <w:color w:val="2F4F4F"/>
          <w:sz w:val="17"/>
          <w:szCs w:val="17"/>
        </w:rPr>
        <w:t xml:space="preserve">        // Look up APU template via KnowledgeBase contract</w:t>
      </w:r>
    </w:p>
    <w:p>
      <w:pPr>
        <w:pStyle w:val="CodeBlock"/>
      </w:pPr>
      <w:r>
        <w:rPr>
          <w:rFonts w:ascii="Consolas" w:cs="Consolas" w:eastAsia="Consolas" w:hAnsi="Consolas"/>
          <w:color w:val="2F4F4F"/>
          <w:sz w:val="17"/>
          <w:szCs w:val="17"/>
        </w:rPr>
        <w:t xml:space="preserve">        var template = await _knowledgeBase.FindAPUTemplateAsync(</w:t>
      </w:r>
    </w:p>
    <w:p>
      <w:pPr>
        <w:pStyle w:val="CodeBlock"/>
      </w:pPr>
      <w:r>
        <w:rPr>
          <w:rFonts w:ascii="Consolas" w:cs="Consolas" w:eastAsia="Consolas" w:hAnsi="Consolas"/>
          <w:color w:val="2F4F4F"/>
          <w:sz w:val="17"/>
          <w:szCs w:val="17"/>
        </w:rPr>
        <w:t xml:space="preserve">            cmd.CanonicalConceptId, cmd.GeoRegion, cmd.ProjectType, ct);</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if (!template.IsSuccess) return Result.Failure(template.Error!);</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 If no template, generate via AI contract</w:t>
      </w:r>
    </w:p>
    <w:p>
      <w:pPr>
        <w:pStyle w:val="CodeBlock"/>
      </w:pPr>
      <w:r>
        <w:rPr>
          <w:rFonts w:ascii="Consolas" w:cs="Consolas" w:eastAsia="Consolas" w:hAnsi="Consolas"/>
          <w:color w:val="2F4F4F"/>
          <w:sz w:val="17"/>
          <w:szCs w:val="17"/>
        </w:rPr>
        <w:t xml:space="preserve">        if (template.Value is null)</w:t>
      </w:r>
    </w:p>
    <w:p>
      <w:pPr>
        <w:pStyle w:val="CodeBlock"/>
      </w:pPr>
      <w:r>
        <w:rPr>
          <w:rFonts w:ascii="Consolas" w:cs="Consolas" w:eastAsia="Consolas" w:hAnsi="Consolas"/>
          <w:color w:val="2F4F4F"/>
          <w:sz w:val="17"/>
          <w:szCs w:val="17"/>
        </w:rPr>
        <w:t xml:space="preserve">        {</w:t>
      </w:r>
    </w:p>
    <w:p>
      <w:pPr>
        <w:pStyle w:val="CodeBlock"/>
      </w:pPr>
      <w:r>
        <w:rPr>
          <w:rFonts w:ascii="Consolas" w:cs="Consolas" w:eastAsia="Consolas" w:hAnsi="Consolas"/>
          <w:color w:val="2F4F4F"/>
          <w:sz w:val="17"/>
          <w:szCs w:val="17"/>
        </w:rPr>
        <w:t xml:space="preserve">            var generated = await _agentService.RunProductionAgentAsync(</w:t>
      </w:r>
    </w:p>
    <w:p>
      <w:pPr>
        <w:pStyle w:val="CodeBlock"/>
      </w:pPr>
      <w:r>
        <w:rPr>
          <w:rFonts w:ascii="Consolas" w:cs="Consolas" w:eastAsia="Consolas" w:hAnsi="Consolas"/>
          <w:color w:val="2F4F4F"/>
          <w:sz w:val="17"/>
          <w:szCs w:val="17"/>
        </w:rPr>
        <w:t xml:space="preserve">                new ProductionAgentRequest(cmd.ProjectId, cmd.WorkItems), ct);</w:t>
      </w:r>
    </w:p>
    <w:p>
      <w:pPr>
        <w:pStyle w:val="CodeBlock"/>
      </w:pPr>
      <w:r>
        <w:rPr>
          <w:rFonts w:ascii="Consolas" w:cs="Consolas" w:eastAsia="Consolas" w:hAnsi="Consolas"/>
          <w:color w:val="2F4F4F"/>
          <w:sz w:val="17"/>
          <w:szCs w:val="17"/>
        </w:rPr>
        <w:t xml:space="preserve">            // ...</w:t>
      </w:r>
    </w:p>
    <w:p>
      <w:pPr>
        <w:pStyle w:val="CodeBlock"/>
      </w:pPr>
      <w:r>
        <w:rPr>
          <w:rFonts w:ascii="Consolas" w:cs="Consolas" w:eastAsia="Consolas" w:hAnsi="Consolas"/>
          <w:color w:val="2F4F4F"/>
          <w:sz w:val="17"/>
          <w:szCs w:val="17"/>
        </w:rPr>
        <w:t xml:space="preserve">        }</w:t>
      </w:r>
    </w:p>
    <w:p>
      <w:pPr>
        <w:pStyle w:val="CodeBlock"/>
      </w:pPr>
      <w:r>
        <w:rPr>
          <w:rFonts w:ascii="Consolas" w:cs="Consolas" w:eastAsia="Consolas" w:hAnsi="Consolas"/>
          <w:color w:val="2F4F4F"/>
          <w:sz w:val="17"/>
          <w:szCs w:val="17"/>
        </w:rPr>
        <w:t xml:space="preserve">    }</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 WRONG: Direct DbContext access across modules</w:t>
      </w:r>
    </w:p>
    <w:p>
      <w:pPr>
        <w:pStyle w:val="CodeBlock"/>
      </w:pPr>
      <w:r>
        <w:rPr>
          <w:rFonts w:ascii="Consolas" w:cs="Consolas" w:eastAsia="Consolas" w:hAnsi="Consolas"/>
          <w:color w:val="2F4F4F"/>
          <w:sz w:val="17"/>
          <w:szCs w:val="17"/>
        </w:rPr>
        <w:t xml:space="preserve">public class AssignAPUsCommandHandler</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private readonly KnowledgeBaseDbContext _kbContext; // VIOLATION</w:t>
      </w:r>
    </w:p>
    <w:p>
      <w:pPr>
        <w:pStyle w:val="CodeBlock"/>
      </w:pPr>
      <w:r>
        <w:rPr>
          <w:rFonts w:ascii="Consolas" w:cs="Consolas" w:eastAsia="Consolas" w:hAnsi="Consolas"/>
          <w:color w:val="2F4F4F"/>
          <w:sz w:val="17"/>
          <w:szCs w:val="17"/>
        </w:rPr>
        <w:t xml:space="preserve">    var template = await _kbContext.APUTemplates.FindAsync(id); // VIOLATION</w:t>
      </w:r>
    </w:p>
    <w:p>
      <w:pPr>
        <w:pStyle w:val="CodeBlock"/>
      </w:pPr>
      <w:r>
        <w:rPr>
          <w:rFonts w:ascii="Consolas" w:cs="Consolas" w:eastAsia="Consolas" w:hAnsi="Consolas"/>
          <w:color w:val="2F4F4F"/>
          <w:sz w:val="17"/>
          <w:szCs w:val="17"/>
        </w:rPr>
        <w:t xml:space="preserve">}</w:t>
      </w:r>
    </w:p>
    <w:p>
      <w:pPr>
        <w:pStyle w:val="Heading2"/>
      </w:pPr>
      <w:r>
        <w:t xml:space="preserve">Asynchronous Communication (Cross-Module Events)</w:t>
      </w:r>
    </w:p>
    <w:p>
      <w:r>
        <w:rPr>
          <w:sz w:val="22"/>
          <w:szCs w:val="22"/>
        </w:rPr>
        <w:t xml:space="preserve">Use MassTransit integration events via the Outbox Pattern. Never publish directly to RabbitMQ.</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2340"/>
        <w:gridCol w:w="2340"/>
        <w:gridCol w:w="4680"/>
      </w:tblGrid>
      <w:tr>
        <w:trPr>
          <w:tblHeader/>
        </w:trPr>
        <w:tc>
          <w:tcPr>
            <w:tcW w:type="dxa" w:w="2340"/>
            <w:tcBorders>
              <w:top w:val="none" w:color="FFFFFF" w:sz="0"/>
              <w:left w:val="none" w:color="FFFFFF" w:sz="0"/>
              <w:bottom w:val="single" w:color="1F3864" w:sz="4"/>
              <w:right w:val="none" w:color="FFFFFF" w:sz="0"/>
            </w:tcBorders>
          </w:tcPr>
          <w:p>
            <w:r>
              <w:rPr>
                <w:b/>
                <w:bCs/>
                <w:sz w:val="22"/>
                <w:szCs w:val="22"/>
              </w:rPr>
              <w:t xml:space="preserve">Event</w:t>
            </w:r>
          </w:p>
        </w:tc>
        <w:tc>
          <w:tcPr>
            <w:tcW w:type="dxa" w:w="3120"/>
            <w:tcBorders>
              <w:top w:val="none" w:color="FFFFFF" w:sz="0"/>
              <w:left w:val="none" w:color="FFFFFF" w:sz="0"/>
              <w:bottom w:val="single" w:color="1F3864" w:sz="4"/>
              <w:right w:val="none" w:color="FFFFFF" w:sz="0"/>
            </w:tcBorders>
          </w:tcPr>
          <w:p>
            <w:r>
              <w:rPr>
                <w:b/>
                <w:bCs/>
                <w:sz w:val="22"/>
                <w:szCs w:val="22"/>
              </w:rPr>
              <w:t xml:space="preserve">Publisher</w:t>
            </w:r>
          </w:p>
        </w:tc>
        <w:tc>
          <w:tcPr>
            <w:tcW w:type="dxa" w:w="3900"/>
            <w:tcBorders>
              <w:top w:val="none" w:color="FFFFFF" w:sz="0"/>
              <w:left w:val="none" w:color="FFFFFF" w:sz="0"/>
              <w:bottom w:val="single" w:color="1F3864" w:sz="4"/>
              <w:right w:val="none" w:color="FFFFFF" w:sz="0"/>
            </w:tcBorders>
          </w:tcPr>
          <w:p>
            <w:r>
              <w:rPr>
                <w:b/>
                <w:bCs/>
                <w:sz w:val="22"/>
                <w:szCs w:val="22"/>
              </w:rPr>
              <w:t xml:space="preserve">Subscribers</w:t>
            </w:r>
          </w:p>
        </w:tc>
      </w:tr>
      <w:tr>
        <w:tc>
          <w:tcPr>
            <w:tcW w:type="dxa" w:w="2340"/>
            <w:tcBorders>
              <w:top w:val="none" w:color="FFFFFF" w:sz="0"/>
              <w:left w:val="none" w:color="FFFFFF" w:sz="0"/>
              <w:bottom w:val="none" w:color="FFFFFF" w:sz="0"/>
              <w:right w:val="none" w:color="FFFFFF" w:sz="0"/>
            </w:tcBorders>
          </w:tcPr>
          <w:p>
            <w:r>
              <w:rPr>
                <w:sz w:val="22"/>
                <w:szCs w:val="22"/>
              </w:rPr>
              <w:t xml:space="preserve">ProjectCreatedIntegrationEvent</w:t>
            </w:r>
          </w:p>
        </w:tc>
        <w:tc>
          <w:tcPr>
            <w:tcW w:type="dxa" w:w="3120"/>
            <w:tcBorders>
              <w:top w:val="none" w:color="FFFFFF" w:sz="0"/>
              <w:left w:val="none" w:color="FFFFFF" w:sz="0"/>
              <w:bottom w:val="none" w:color="FFFFFF" w:sz="0"/>
              <w:right w:val="none" w:color="FFFFFF" w:sz="0"/>
            </w:tcBorders>
          </w:tcPr>
          <w:p>
            <w:r>
              <w:rPr>
                <w:sz w:val="22"/>
                <w:szCs w:val="22"/>
              </w:rPr>
              <w:t xml:space="preserve">Projects</w:t>
            </w:r>
          </w:p>
        </w:tc>
        <w:tc>
          <w:tcPr>
            <w:tcW w:type="dxa" w:w="3900"/>
            <w:tcBorders>
              <w:top w:val="none" w:color="FFFFFF" w:sz="0"/>
              <w:left w:val="none" w:color="FFFFFF" w:sz="0"/>
              <w:bottom w:val="none" w:color="FFFFFF" w:sz="0"/>
              <w:right w:val="none" w:color="FFFFFF" w:sz="0"/>
            </w:tcBorders>
          </w:tcPr>
          <w:p>
            <w:r>
              <w:rPr>
                <w:sz w:val="22"/>
                <w:szCs w:val="22"/>
              </w:rPr>
              <w:t xml:space="preserve">Billing, Bots</w:t>
            </w:r>
          </w:p>
        </w:tc>
      </w:tr>
      <w:tr>
        <w:tc>
          <w:tcPr>
            <w:tcW w:type="dxa" w:w="2340"/>
            <w:tcBorders>
              <w:top w:val="none" w:color="FFFFFF" w:sz="0"/>
              <w:left w:val="none" w:color="FFFFFF" w:sz="0"/>
              <w:bottom w:val="none" w:color="FFFFFF" w:sz="0"/>
              <w:right w:val="none" w:color="FFFFFF" w:sz="0"/>
            </w:tcBorders>
          </w:tcPr>
          <w:p>
            <w:r>
              <w:rPr>
                <w:sz w:val="22"/>
                <w:szCs w:val="22"/>
              </w:rPr>
              <w:t xml:space="preserve">PhaseAdvancedIntegrationEvent</w:t>
            </w:r>
          </w:p>
        </w:tc>
        <w:tc>
          <w:tcPr>
            <w:tcW w:type="dxa" w:w="3120"/>
            <w:tcBorders>
              <w:top w:val="none" w:color="FFFFFF" w:sz="0"/>
              <w:left w:val="none" w:color="FFFFFF" w:sz="0"/>
              <w:bottom w:val="none" w:color="FFFFFF" w:sz="0"/>
              <w:right w:val="none" w:color="FFFFFF" w:sz="0"/>
            </w:tcBorders>
          </w:tcPr>
          <w:p>
            <w:r>
              <w:rPr>
                <w:sz w:val="22"/>
                <w:szCs w:val="22"/>
              </w:rPr>
              <w:t xml:space="preserve">Projects</w:t>
            </w:r>
          </w:p>
        </w:tc>
        <w:tc>
          <w:tcPr>
            <w:tcW w:type="dxa" w:w="3900"/>
            <w:tcBorders>
              <w:top w:val="none" w:color="FFFFFF" w:sz="0"/>
              <w:left w:val="none" w:color="FFFFFF" w:sz="0"/>
              <w:bottom w:val="none" w:color="FFFFFF" w:sz="0"/>
              <w:right w:val="none" w:color="FFFFFF" w:sz="0"/>
            </w:tcBorders>
          </w:tcPr>
          <w:p>
            <w:r>
              <w:rPr>
                <w:sz w:val="22"/>
                <w:szCs w:val="22"/>
              </w:rPr>
              <w:t xml:space="preserve">Billing, Bots</w:t>
            </w:r>
          </w:p>
        </w:tc>
      </w:tr>
      <w:tr>
        <w:tc>
          <w:tcPr>
            <w:tcW w:type="dxa" w:w="2340"/>
            <w:tcBorders>
              <w:top w:val="none" w:color="FFFFFF" w:sz="0"/>
              <w:left w:val="none" w:color="FFFFFF" w:sz="0"/>
              <w:bottom w:val="none" w:color="FFFFFF" w:sz="0"/>
              <w:right w:val="none" w:color="FFFFFF" w:sz="0"/>
            </w:tcBorders>
          </w:tcPr>
          <w:p>
            <w:r>
              <w:rPr>
                <w:sz w:val="22"/>
                <w:szCs w:val="22"/>
              </w:rPr>
              <w:t xml:space="preserve">WorkItemAddedIntegrationEvent</w:t>
            </w:r>
          </w:p>
        </w:tc>
        <w:tc>
          <w:tcPr>
            <w:tcW w:type="dxa" w:w="3120"/>
            <w:tcBorders>
              <w:top w:val="none" w:color="FFFFFF" w:sz="0"/>
              <w:left w:val="none" w:color="FFFFFF" w:sz="0"/>
              <w:bottom w:val="none" w:color="FFFFFF" w:sz="0"/>
              <w:right w:val="none" w:color="FFFFFF" w:sz="0"/>
            </w:tcBorders>
          </w:tcPr>
          <w:p>
            <w:r>
              <w:rPr>
                <w:sz w:val="22"/>
                <w:szCs w:val="22"/>
              </w:rPr>
              <w:t xml:space="preserve">Projects</w:t>
            </w:r>
          </w:p>
        </w:tc>
        <w:tc>
          <w:tcPr>
            <w:tcW w:type="dxa" w:w="3900"/>
            <w:tcBorders>
              <w:top w:val="none" w:color="FFFFFF" w:sz="0"/>
              <w:left w:val="none" w:color="FFFFFF" w:sz="0"/>
              <w:bottom w:val="none" w:color="FFFFFF" w:sz="0"/>
              <w:right w:val="none" w:color="FFFFFF" w:sz="0"/>
            </w:tcBorders>
          </w:tcPr>
          <w:p>
            <w:r>
              <w:rPr>
                <w:sz w:val="22"/>
                <w:szCs w:val="22"/>
              </w:rPr>
              <w:t xml:space="preserve">KnowledgeBase</w:t>
            </w:r>
          </w:p>
        </w:tc>
      </w:tr>
      <w:tr>
        <w:tc>
          <w:tcPr>
            <w:tcW w:type="dxa" w:w="2340"/>
            <w:tcBorders>
              <w:top w:val="none" w:color="FFFFFF" w:sz="0"/>
              <w:left w:val="none" w:color="FFFFFF" w:sz="0"/>
              <w:bottom w:val="none" w:color="FFFFFF" w:sz="0"/>
              <w:right w:val="none" w:color="FFFFFF" w:sz="0"/>
            </w:tcBorders>
          </w:tcPr>
          <w:p>
            <w:r>
              <w:rPr>
                <w:sz w:val="22"/>
                <w:szCs w:val="22"/>
              </w:rPr>
              <w:t xml:space="preserve">APUGeneratedIntegrationEvent</w:t>
            </w:r>
          </w:p>
        </w:tc>
        <w:tc>
          <w:tcPr>
            <w:tcW w:type="dxa" w:w="3120"/>
            <w:tcBorders>
              <w:top w:val="none" w:color="FFFFFF" w:sz="0"/>
              <w:left w:val="none" w:color="FFFFFF" w:sz="0"/>
              <w:bottom w:val="none" w:color="FFFFFF" w:sz="0"/>
              <w:right w:val="none" w:color="FFFFFF" w:sz="0"/>
            </w:tcBorders>
          </w:tcPr>
          <w:p>
            <w:r>
              <w:rPr>
                <w:sz w:val="22"/>
                <w:szCs w:val="22"/>
              </w:rPr>
              <w:t xml:space="preserve">Projects (via AI)</w:t>
            </w:r>
          </w:p>
        </w:tc>
        <w:tc>
          <w:tcPr>
            <w:tcW w:type="dxa" w:w="3900"/>
            <w:tcBorders>
              <w:top w:val="none" w:color="FFFFFF" w:sz="0"/>
              <w:left w:val="none" w:color="FFFFFF" w:sz="0"/>
              <w:bottom w:val="none" w:color="FFFFFF" w:sz="0"/>
              <w:right w:val="none" w:color="FFFFFF" w:sz="0"/>
            </w:tcBorders>
          </w:tcPr>
          <w:p>
            <w:r>
              <w:rPr>
                <w:sz w:val="22"/>
                <w:szCs w:val="22"/>
              </w:rPr>
              <w:t xml:space="preserve">KnowledgeBase, Billing</w:t>
            </w:r>
          </w:p>
        </w:tc>
      </w:tr>
      <w:tr>
        <w:tc>
          <w:tcPr>
            <w:tcW w:type="dxa" w:w="2340"/>
            <w:tcBorders>
              <w:top w:val="none" w:color="FFFFFF" w:sz="0"/>
              <w:left w:val="none" w:color="FFFFFF" w:sz="0"/>
              <w:bottom w:val="none" w:color="FFFFFF" w:sz="0"/>
              <w:right w:val="none" w:color="FFFFFF" w:sz="0"/>
            </w:tcBorders>
          </w:tcPr>
          <w:p>
            <w:r>
              <w:rPr>
                <w:sz w:val="22"/>
                <w:szCs w:val="22"/>
              </w:rPr>
              <w:t xml:space="preserve">OfferGeneratedIntegrationEvent</w:t>
            </w:r>
          </w:p>
        </w:tc>
        <w:tc>
          <w:tcPr>
            <w:tcW w:type="dxa" w:w="3120"/>
            <w:tcBorders>
              <w:top w:val="none" w:color="FFFFFF" w:sz="0"/>
              <w:left w:val="none" w:color="FFFFFF" w:sz="0"/>
              <w:bottom w:val="none" w:color="FFFFFF" w:sz="0"/>
              <w:right w:val="none" w:color="FFFFFF" w:sz="0"/>
            </w:tcBorders>
          </w:tcPr>
          <w:p>
            <w:r>
              <w:rPr>
                <w:sz w:val="22"/>
                <w:szCs w:val="22"/>
              </w:rPr>
              <w:t xml:space="preserve">Projects</w:t>
            </w:r>
          </w:p>
        </w:tc>
        <w:tc>
          <w:tcPr>
            <w:tcW w:type="dxa" w:w="3900"/>
            <w:tcBorders>
              <w:top w:val="none" w:color="FFFFFF" w:sz="0"/>
              <w:left w:val="none" w:color="FFFFFF" w:sz="0"/>
              <w:bottom w:val="none" w:color="FFFFFF" w:sz="0"/>
              <w:right w:val="none" w:color="FFFFFF" w:sz="0"/>
            </w:tcBorders>
          </w:tcPr>
          <w:p>
            <w:r>
              <w:rPr>
                <w:sz w:val="22"/>
                <w:szCs w:val="22"/>
              </w:rPr>
              <w:t xml:space="preserve">Billing, Bots</w:t>
            </w:r>
          </w:p>
        </w:tc>
      </w:tr>
      <w:tr>
        <w:tc>
          <w:tcPr>
            <w:tcW w:type="dxa" w:w="2340"/>
            <w:tcBorders>
              <w:top w:val="none" w:color="FFFFFF" w:sz="0"/>
              <w:left w:val="none" w:color="FFFFFF" w:sz="0"/>
              <w:bottom w:val="none" w:color="FFFFFF" w:sz="0"/>
              <w:right w:val="none" w:color="FFFFFF" w:sz="0"/>
            </w:tcBorders>
          </w:tcPr>
          <w:p>
            <w:r>
              <w:rPr>
                <w:sz w:val="22"/>
                <w:szCs w:val="22"/>
              </w:rPr>
              <w:t xml:space="preserve">CreditsConsumedIntegrationEvent</w:t>
            </w:r>
          </w:p>
        </w:tc>
        <w:tc>
          <w:tcPr>
            <w:tcW w:type="dxa" w:w="3120"/>
            <w:tcBorders>
              <w:top w:val="none" w:color="FFFFFF" w:sz="0"/>
              <w:left w:val="none" w:color="FFFFFF" w:sz="0"/>
              <w:bottom w:val="none" w:color="FFFFFF" w:sz="0"/>
              <w:right w:val="none" w:color="FFFFFF" w:sz="0"/>
            </w:tcBorders>
          </w:tcPr>
          <w:p>
            <w:r>
              <w:rPr>
                <w:sz w:val="22"/>
                <w:szCs w:val="22"/>
              </w:rPr>
              <w:t xml:space="preserve">Billing</w:t>
            </w:r>
          </w:p>
        </w:tc>
        <w:tc>
          <w:tcPr>
            <w:tcW w:type="dxa" w:w="3900"/>
            <w:tcBorders>
              <w:top w:val="none" w:color="FFFFFF" w:sz="0"/>
              <w:left w:val="none" w:color="FFFFFF" w:sz="0"/>
              <w:bottom w:val="none" w:color="FFFFFF" w:sz="0"/>
              <w:right w:val="none" w:color="FFFFFF" w:sz="0"/>
            </w:tcBorders>
          </w:tcPr>
          <w:p>
            <w:r>
              <w:rPr>
                <w:sz w:val="22"/>
                <w:szCs w:val="22"/>
              </w:rPr>
              <w:t xml:space="preserve">Projects, Bots</w:t>
            </w:r>
          </w:p>
        </w:tc>
      </w:tr>
      <w:tr>
        <w:tc>
          <w:tcPr>
            <w:tcW w:type="dxa" w:w="2340"/>
            <w:tcBorders>
              <w:top w:val="none" w:color="FFFFFF" w:sz="0"/>
              <w:left w:val="none" w:color="FFFFFF" w:sz="0"/>
              <w:bottom w:val="none" w:color="FFFFFF" w:sz="0"/>
              <w:right w:val="none" w:color="FFFFFF" w:sz="0"/>
            </w:tcBorders>
          </w:tcPr>
          <w:p>
            <w:r>
              <w:rPr>
                <w:sz w:val="22"/>
                <w:szCs w:val="22"/>
              </w:rPr>
              <w:t xml:space="preserve">CreditDepletedIntegrationEvent</w:t>
            </w:r>
          </w:p>
        </w:tc>
        <w:tc>
          <w:tcPr>
            <w:tcW w:type="dxa" w:w="3120"/>
            <w:tcBorders>
              <w:top w:val="none" w:color="FFFFFF" w:sz="0"/>
              <w:left w:val="none" w:color="FFFFFF" w:sz="0"/>
              <w:bottom w:val="none" w:color="FFFFFF" w:sz="0"/>
              <w:right w:val="none" w:color="FFFFFF" w:sz="0"/>
            </w:tcBorders>
          </w:tcPr>
          <w:p>
            <w:r>
              <w:rPr>
                <w:sz w:val="22"/>
                <w:szCs w:val="22"/>
              </w:rPr>
              <w:t xml:space="preserve">Billing</w:t>
            </w:r>
          </w:p>
        </w:tc>
        <w:tc>
          <w:tcPr>
            <w:tcW w:type="dxa" w:w="3900"/>
            <w:tcBorders>
              <w:top w:val="none" w:color="FFFFFF" w:sz="0"/>
              <w:left w:val="none" w:color="FFFFFF" w:sz="0"/>
              <w:bottom w:val="none" w:color="FFFFFF" w:sz="0"/>
              <w:right w:val="none" w:color="FFFFFF" w:sz="0"/>
            </w:tcBorders>
          </w:tcPr>
          <w:p>
            <w:r>
              <w:rPr>
                <w:sz w:val="22"/>
                <w:szCs w:val="22"/>
              </w:rPr>
              <w:t xml:space="preserve">Projects, Bots</w:t>
            </w:r>
          </w:p>
        </w:tc>
      </w:tr>
      <w:tr>
        <w:tc>
          <w:tcPr>
            <w:tcW w:type="dxa" w:w="2340"/>
            <w:tcBorders>
              <w:top w:val="none" w:color="FFFFFF" w:sz="0"/>
              <w:left w:val="none" w:color="FFFFFF" w:sz="0"/>
              <w:bottom w:val="none" w:color="FFFFFF" w:sz="0"/>
              <w:right w:val="none" w:color="FFFFFF" w:sz="0"/>
            </w:tcBorders>
          </w:tcPr>
          <w:p>
            <w:r>
              <w:rPr>
                <w:sz w:val="22"/>
                <w:szCs w:val="22"/>
              </w:rPr>
              <w:t xml:space="preserve">MCPProviderFailedIntegrationEvent</w:t>
            </w:r>
          </w:p>
        </w:tc>
        <w:tc>
          <w:tcPr>
            <w:tcW w:type="dxa" w:w="3120"/>
            <w:tcBorders>
              <w:top w:val="none" w:color="FFFFFF" w:sz="0"/>
              <w:left w:val="none" w:color="FFFFFF" w:sz="0"/>
              <w:bottom w:val="none" w:color="FFFFFF" w:sz="0"/>
              <w:right w:val="none" w:color="FFFFFF" w:sz="0"/>
            </w:tcBorders>
          </w:tcPr>
          <w:p>
            <w:r>
              <w:rPr>
                <w:sz w:val="22"/>
                <w:szCs w:val="22"/>
              </w:rPr>
              <w:t xml:space="preserve">MCP</w:t>
            </w:r>
          </w:p>
        </w:tc>
        <w:tc>
          <w:tcPr>
            <w:tcW w:type="dxa" w:w="3900"/>
            <w:tcBorders>
              <w:top w:val="none" w:color="FFFFFF" w:sz="0"/>
              <w:left w:val="none" w:color="FFFFFF" w:sz="0"/>
              <w:bottom w:val="none" w:color="FFFFFF" w:sz="0"/>
              <w:right w:val="none" w:color="FFFFFF" w:sz="0"/>
            </w:tcBorders>
          </w:tcPr>
          <w:p>
            <w:r>
              <w:rPr>
                <w:sz w:val="22"/>
                <w:szCs w:val="22"/>
              </w:rPr>
              <w:t xml:space="preserve">Projects</w:t>
            </w:r>
          </w:p>
        </w:tc>
      </w:tr>
      <w:tr>
        <w:tc>
          <w:tcPr>
            <w:tcW w:type="dxa" w:w="2340"/>
            <w:tcBorders>
              <w:top w:val="none" w:color="FFFFFF" w:sz="0"/>
              <w:left w:val="none" w:color="FFFFFF" w:sz="0"/>
              <w:bottom w:val="none" w:color="FFFFFF" w:sz="0"/>
              <w:right w:val="none" w:color="FFFFFF" w:sz="0"/>
            </w:tcBorders>
          </w:tcPr>
          <w:p>
            <w:r>
              <w:rPr>
                <w:sz w:val="22"/>
                <w:szCs w:val="22"/>
              </w:rPr>
              <w:t xml:space="preserve">TenantCreatedIntegrationEvent</w:t>
            </w:r>
          </w:p>
        </w:tc>
        <w:tc>
          <w:tcPr>
            <w:tcW w:type="dxa" w:w="3120"/>
            <w:tcBorders>
              <w:top w:val="none" w:color="FFFFFF" w:sz="0"/>
              <w:left w:val="none" w:color="FFFFFF" w:sz="0"/>
              <w:bottom w:val="none" w:color="FFFFFF" w:sz="0"/>
              <w:right w:val="none" w:color="FFFFFF" w:sz="0"/>
            </w:tcBorders>
          </w:tcPr>
          <w:p>
            <w:r>
              <w:rPr>
                <w:sz w:val="22"/>
                <w:szCs w:val="22"/>
              </w:rPr>
              <w:t xml:space="preserve">Identity</w:t>
            </w:r>
          </w:p>
        </w:tc>
        <w:tc>
          <w:tcPr>
            <w:tcW w:type="dxa" w:w="3900"/>
            <w:tcBorders>
              <w:top w:val="none" w:color="FFFFFF" w:sz="0"/>
              <w:left w:val="none" w:color="FFFFFF" w:sz="0"/>
              <w:bottom w:val="none" w:color="FFFFFF" w:sz="0"/>
              <w:right w:val="none" w:color="FFFFFF" w:sz="0"/>
            </w:tcBorders>
          </w:tcPr>
          <w:p>
            <w:r>
              <w:rPr>
                <w:sz w:val="22"/>
                <w:szCs w:val="22"/>
              </w:rPr>
              <w:t xml:space="preserve">Billing</w:t>
            </w:r>
          </w:p>
        </w:tc>
      </w:tr>
      <w:tr>
        <w:tc>
          <w:tcPr>
            <w:tcW w:type="dxa" w:w="2340"/>
            <w:tcBorders>
              <w:top w:val="none" w:color="FFFFFF" w:sz="0"/>
              <w:left w:val="none" w:color="FFFFFF" w:sz="0"/>
              <w:bottom w:val="none" w:color="FFFFFF" w:sz="0"/>
              <w:right w:val="none" w:color="FFFFFF" w:sz="0"/>
            </w:tcBorders>
          </w:tcPr>
          <w:p>
            <w:r>
              <w:rPr>
                <w:sz w:val="22"/>
                <w:szCs w:val="22"/>
              </w:rPr>
              <w:t xml:space="preserve">BotMessageReceivedIntegrationEvent</w:t>
            </w:r>
          </w:p>
        </w:tc>
        <w:tc>
          <w:tcPr>
            <w:tcW w:type="dxa" w:w="3120"/>
            <w:tcBorders>
              <w:top w:val="none" w:color="FFFFFF" w:sz="0"/>
              <w:left w:val="none" w:color="FFFFFF" w:sz="0"/>
              <w:bottom w:val="none" w:color="FFFFFF" w:sz="0"/>
              <w:right w:val="none" w:color="FFFFFF" w:sz="0"/>
            </w:tcBorders>
          </w:tcPr>
          <w:p>
            <w:r>
              <w:rPr>
                <w:sz w:val="22"/>
                <w:szCs w:val="22"/>
              </w:rPr>
              <w:t xml:space="preserve">Bots</w:t>
            </w:r>
          </w:p>
        </w:tc>
        <w:tc>
          <w:tcPr>
            <w:tcW w:type="dxa" w:w="3900"/>
            <w:tcBorders>
              <w:top w:val="none" w:color="FFFFFF" w:sz="0"/>
              <w:left w:val="none" w:color="FFFFFF" w:sz="0"/>
              <w:bottom w:val="none" w:color="FFFFFF" w:sz="0"/>
              <w:right w:val="none" w:color="FFFFFF" w:sz="0"/>
            </w:tcBorders>
          </w:tcPr>
          <w:p>
            <w:r>
              <w:rPr>
                <w:sz w:val="22"/>
                <w:szCs w:val="22"/>
              </w:rPr>
              <w:t xml:space="preserve">Projects</w:t>
            </w:r>
          </w:p>
        </w:tc>
      </w:tr>
    </w:tbl>
    <w:p>
      <w:pPr>
        <w:pBdr>
          <w:bottom w:val="single" w:color="CCCCCC" w:sz="2"/>
        </w:pBdr>
        <w:spacing w:after="120" w:before="120"/>
      </w:pPr>
      <w:r>
        <w:t xml:space="preserve"/>
      </w:r>
    </w:p>
    <w:p>
      <w:pPr>
        <w:pStyle w:val="Heading1"/>
      </w:pPr>
      <w:bookmarkStart w:name="s10" w:id="1"/>
      <w:r>
        <w:t xml:space="preserve">10. Integration Event Contracts</w:t>
      </w:r>
      <w:bookmarkEnd w:id="1"/>
    </w:p>
    <w:p>
      <w:r>
        <w:rPr>
          <w:sz w:val="22"/>
          <w:szCs w:val="22"/>
        </w:rPr>
        <w:t xml:space="preserve">All integration events inherit from IntegrationEvent (schema_shared). All consumers must be idempotent.</w:t>
      </w:r>
    </w:p>
    <w:p>
      <w:pPr>
        <w:pStyle w:val="CodeBlock"/>
      </w:pPr>
      <w:r>
        <w:rPr>
          <w:rFonts w:ascii="Consolas" w:cs="Consolas" w:eastAsia="Consolas" w:hAnsi="Consolas"/>
          <w:color w:val="2F4F4F"/>
          <w:sz w:val="17"/>
          <w:szCs w:val="17"/>
        </w:rPr>
        <w:t xml:space="preserve">// Base class (Kynakee.Modules.Shared)</w:t>
      </w:r>
    </w:p>
    <w:p>
      <w:pPr>
        <w:pStyle w:val="CodeBlock"/>
      </w:pPr>
      <w:r>
        <w:rPr>
          <w:rFonts w:ascii="Consolas" w:cs="Consolas" w:eastAsia="Consolas" w:hAnsi="Consolas"/>
          <w:color w:val="2F4F4F"/>
          <w:sz w:val="17"/>
          <w:szCs w:val="17"/>
        </w:rPr>
        <w:t xml:space="preserve">public abstract record IntegrationEvent</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public Guid Id { get; } = Guid.NewGuid();</w:t>
      </w:r>
    </w:p>
    <w:p>
      <w:pPr>
        <w:pStyle w:val="CodeBlock"/>
      </w:pPr>
      <w:r>
        <w:rPr>
          <w:rFonts w:ascii="Consolas" w:cs="Consolas" w:eastAsia="Consolas" w:hAnsi="Consolas"/>
          <w:color w:val="2F4F4F"/>
          <w:sz w:val="17"/>
          <w:szCs w:val="17"/>
        </w:rPr>
        <w:t xml:space="preserve">    public DateTime OccurredOn { get; } = DateTime.UtcNow;</w:t>
      </w:r>
    </w:p>
    <w:p>
      <w:pPr>
        <w:pStyle w:val="CodeBlock"/>
      </w:pPr>
      <w:r>
        <w:rPr>
          <w:rFonts w:ascii="Consolas" w:cs="Consolas" w:eastAsia="Consolas" w:hAnsi="Consolas"/>
          <w:color w:val="2F4F4F"/>
          <w:sz w:val="17"/>
          <w:szCs w:val="17"/>
        </w:rPr>
        <w:t xml:space="preserve">    public Guid TenantId { get; init; }</w:t>
      </w:r>
    </w:p>
    <w:p>
      <w:pPr>
        <w:pStyle w:val="CodeBlock"/>
      </w:pPr>
      <w:r>
        <w:rPr>
          <w:rFonts w:ascii="Consolas" w:cs="Consolas" w:eastAsia="Consolas" w:hAnsi="Consolas"/>
          <w:color w:val="2F4F4F"/>
          <w:sz w:val="17"/>
          <w:szCs w:val="17"/>
        </w:rPr>
        <w:t xml:space="preserve">    public string EventType =&gt; GetType().Name;</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Key event contracts:</w:t>
      </w:r>
    </w:p>
    <w:p>
      <w:pPr>
        <w:pStyle w:val="CodeBlock"/>
      </w:pPr>
      <w:r>
        <w:rPr>
          <w:rFonts w:ascii="Consolas" w:cs="Consolas" w:eastAsia="Consolas" w:hAnsi="Consolas"/>
          <w:color w:val="2F4F4F"/>
          <w:sz w:val="17"/>
          <w:szCs w:val="17"/>
        </w:rPr>
        <w:t xml:space="preserve">public record ProjectCreatedIntegrationEvent : IntegrationEvent</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public Guid ProjectId { get; init; }</w:t>
      </w:r>
    </w:p>
    <w:p>
      <w:pPr>
        <w:pStyle w:val="CodeBlock"/>
      </w:pPr>
      <w:r>
        <w:rPr>
          <w:rFonts w:ascii="Consolas" w:cs="Consolas" w:eastAsia="Consolas" w:hAnsi="Consolas"/>
          <w:color w:val="2F4F4F"/>
          <w:sz w:val="17"/>
          <w:szCs w:val="17"/>
        </w:rPr>
        <w:t xml:space="preserve">    public string ProjectName { get; init; } = string.Empty;</w:t>
      </w:r>
    </w:p>
    <w:p>
      <w:pPr>
        <w:pStyle w:val="CodeBlock"/>
      </w:pPr>
      <w:r>
        <w:rPr>
          <w:rFonts w:ascii="Consolas" w:cs="Consolas" w:eastAsia="Consolas" w:hAnsi="Consolas"/>
          <w:color w:val="2F4F4F"/>
          <w:sz w:val="17"/>
          <w:szCs w:val="17"/>
        </w:rPr>
        <w:t xml:space="preserve">    public string Channel { get; init; } = string.Empty;</w:t>
      </w:r>
    </w:p>
    <w:p>
      <w:pPr>
        <w:pStyle w:val="CodeBlock"/>
      </w:pPr>
      <w:r>
        <w:rPr>
          <w:rFonts w:ascii="Consolas" w:cs="Consolas" w:eastAsia="Consolas" w:hAnsi="Consolas"/>
          <w:color w:val="2F4F4F"/>
          <w:sz w:val="17"/>
          <w:szCs w:val="17"/>
        </w:rPr>
        <w:t xml:space="preserve">    public string GeoRegion { get; init; } = string.Empty;</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PhaseAdvancedIntegrationEvent : IntegrationEvent</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public Guid ProjectId { get; init; }</w:t>
      </w:r>
    </w:p>
    <w:p>
      <w:pPr>
        <w:pStyle w:val="CodeBlock"/>
      </w:pPr>
      <w:r>
        <w:rPr>
          <w:rFonts w:ascii="Consolas" w:cs="Consolas" w:eastAsia="Consolas" w:hAnsi="Consolas"/>
          <w:color w:val="2F4F4F"/>
          <w:sz w:val="17"/>
          <w:szCs w:val="17"/>
        </w:rPr>
        <w:t xml:space="preserve">    public string NewPhase { get; init; } = string.Empty;</w:t>
      </w:r>
    </w:p>
    <w:p>
      <w:pPr>
        <w:pStyle w:val="CodeBlock"/>
      </w:pPr>
      <w:r>
        <w:rPr>
          <w:rFonts w:ascii="Consolas" w:cs="Consolas" w:eastAsia="Consolas" w:hAnsi="Consolas"/>
          <w:color w:val="2F4F4F"/>
          <w:sz w:val="17"/>
          <w:szCs w:val="17"/>
        </w:rPr>
        <w:t xml:space="preserve">    public string PreviousPhase { get; init; } = string.Empty;</w:t>
      </w:r>
    </w:p>
    <w:p>
      <w:pPr>
        <w:pStyle w:val="CodeBlock"/>
      </w:pPr>
      <w:r>
        <w:rPr>
          <w:rFonts w:ascii="Consolas" w:cs="Consolas" w:eastAsia="Consolas" w:hAnsi="Consolas"/>
          <w:color w:val="2F4F4F"/>
          <w:sz w:val="17"/>
          <w:szCs w:val="17"/>
        </w:rPr>
        <w:t xml:space="preserve">    public decimal CreditsConsumed { get; init; }</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CreditsConsumedIntegrationEvent : IntegrationEvent</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public Guid OperationId { get; init; }</w:t>
      </w:r>
    </w:p>
    <w:p>
      <w:pPr>
        <w:pStyle w:val="CodeBlock"/>
      </w:pPr>
      <w:r>
        <w:rPr>
          <w:rFonts w:ascii="Consolas" w:cs="Consolas" w:eastAsia="Consolas" w:hAnsi="Consolas"/>
          <w:color w:val="2F4F4F"/>
          <w:sz w:val="17"/>
          <w:szCs w:val="17"/>
        </w:rPr>
        <w:t xml:space="preserve">    public decimal Amount { get; init; }</w:t>
      </w:r>
    </w:p>
    <w:p>
      <w:pPr>
        <w:pStyle w:val="CodeBlock"/>
      </w:pPr>
      <w:r>
        <w:rPr>
          <w:rFonts w:ascii="Consolas" w:cs="Consolas" w:eastAsia="Consolas" w:hAnsi="Consolas"/>
          <w:color w:val="2F4F4F"/>
          <w:sz w:val="17"/>
          <w:szCs w:val="17"/>
        </w:rPr>
        <w:t xml:space="preserve">    public decimal RemainingCredits { get; init; }</w:t>
      </w:r>
    </w:p>
    <w:p>
      <w:pPr>
        <w:pStyle w:val="CodeBlock"/>
      </w:pPr>
      <w:r>
        <w:rPr>
          <w:rFonts w:ascii="Consolas" w:cs="Consolas" w:eastAsia="Consolas" w:hAnsi="Consolas"/>
          <w:color w:val="2F4F4F"/>
          <w:sz w:val="17"/>
          <w:szCs w:val="17"/>
        </w:rPr>
        <w:t xml:space="preserve">    public string Phase { get; init; } = string.Empty;</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public record CreditDepletedIntegrationEvent : IntegrationEvent</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public Guid ProjectId { get; init; }</w:t>
      </w:r>
    </w:p>
    <w:p>
      <w:pPr>
        <w:pStyle w:val="CodeBlock"/>
      </w:pPr>
      <w:r>
        <w:rPr>
          <w:rFonts w:ascii="Consolas" w:cs="Consolas" w:eastAsia="Consolas" w:hAnsi="Consolas"/>
          <w:color w:val="2F4F4F"/>
          <w:sz w:val="17"/>
          <w:szCs w:val="17"/>
        </w:rPr>
        <w:t xml:space="preserve">    public decimal RemainingCredits { get; init; }</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w:r>
    </w:p>
    <w:p>
      <w:pPr>
        <w:pStyle w:val="CodeBlock"/>
      </w:pPr>
      <w:r>
        <w:rPr>
          <w:rFonts w:ascii="Consolas" w:cs="Consolas" w:eastAsia="Consolas" w:hAnsi="Consolas"/>
          <w:color w:val="2F4F4F"/>
          <w:sz w:val="17"/>
          <w:szCs w:val="17"/>
        </w:rPr>
        <w:t xml:space="preserve">// Idempotency pattern for all consumers:</w:t>
      </w:r>
    </w:p>
    <w:p>
      <w:pPr>
        <w:pStyle w:val="CodeBlock"/>
      </w:pPr>
      <w:r>
        <w:rPr>
          <w:rFonts w:ascii="Consolas" w:cs="Consolas" w:eastAsia="Consolas" w:hAnsi="Consolas"/>
          <w:color w:val="2F4F4F"/>
          <w:sz w:val="17"/>
          <w:szCs w:val="17"/>
        </w:rPr>
        <w:t xml:space="preserve">public class ProjectCreatedConsumer : IConsumer&lt;ProjectCreatedIntegrationEvent&gt;</w:t>
      </w:r>
    </w:p>
    <w:p>
      <w:pPr>
        <w:pStyle w:val="CodeBlock"/>
      </w:pPr>
      <w:r>
        <w:rPr>
          <w:rFonts w:ascii="Consolas" w:cs="Consolas" w:eastAsia="Consolas" w:hAnsi="Consolas"/>
          <w:color w:val="2F4F4F"/>
          <w:sz w:val="17"/>
          <w:szCs w:val="17"/>
        </w:rPr>
        <w:t xml:space="preserve">{</w:t>
      </w:r>
    </w:p>
    <w:p>
      <w:pPr>
        <w:pStyle w:val="CodeBlock"/>
      </w:pPr>
      <w:r>
        <w:rPr>
          <w:rFonts w:ascii="Consolas" w:cs="Consolas" w:eastAsia="Consolas" w:hAnsi="Consolas"/>
          <w:color w:val="2F4F4F"/>
          <w:sz w:val="17"/>
          <w:szCs w:val="17"/>
        </w:rPr>
        <w:t xml:space="preserve">    public async Task Consume(ConsumeContext&lt;ProjectCreatedIntegrationEvent&gt; context)</w:t>
      </w:r>
    </w:p>
    <w:p>
      <w:pPr>
        <w:pStyle w:val="CodeBlock"/>
      </w:pPr>
      <w:r>
        <w:rPr>
          <w:rFonts w:ascii="Consolas" w:cs="Consolas" w:eastAsia="Consolas" w:hAnsi="Consolas"/>
          <w:color w:val="2F4F4F"/>
          <w:sz w:val="17"/>
          <w:szCs w:val="17"/>
        </w:rPr>
        <w:t xml:space="preserve">    {</w:t>
      </w:r>
    </w:p>
    <w:p>
      <w:pPr>
        <w:pStyle w:val="CodeBlock"/>
      </w:pPr>
      <w:r>
        <w:rPr>
          <w:rFonts w:ascii="Consolas" w:cs="Consolas" w:eastAsia="Consolas" w:hAnsi="Consolas"/>
          <w:color w:val="2F4F4F"/>
          <w:sz w:val="17"/>
          <w:szCs w:val="17"/>
        </w:rPr>
        <w:t xml:space="preserve">        var key = $"ProjectCreated:{context.Message.Id}";</w:t>
      </w:r>
    </w:p>
    <w:p>
      <w:pPr>
        <w:pStyle w:val="CodeBlock"/>
      </w:pPr>
      <w:r>
        <w:rPr>
          <w:rFonts w:ascii="Consolas" w:cs="Consolas" w:eastAsia="Consolas" w:hAnsi="Consolas"/>
          <w:color w:val="2F4F4F"/>
          <w:sz w:val="17"/>
          <w:szCs w:val="17"/>
        </w:rPr>
        <w:t xml:space="preserve">        if (await _idempotencyService.IsProcessedAsync(key)) return;</w:t>
      </w:r>
    </w:p>
    <w:p>
      <w:pPr>
        <w:pStyle w:val="CodeBlock"/>
      </w:pPr>
      <w:r>
        <w:rPr>
          <w:rFonts w:ascii="Consolas" w:cs="Consolas" w:eastAsia="Consolas" w:hAnsi="Consolas"/>
          <w:color w:val="2F4F4F"/>
          <w:sz w:val="17"/>
          <w:szCs w:val="17"/>
        </w:rPr>
        <w:t xml:space="preserve">        // ... process event ...</w:t>
      </w:r>
    </w:p>
    <w:p>
      <w:pPr>
        <w:pStyle w:val="CodeBlock"/>
      </w:pPr>
      <w:r>
        <w:rPr>
          <w:rFonts w:ascii="Consolas" w:cs="Consolas" w:eastAsia="Consolas" w:hAnsi="Consolas"/>
          <w:color w:val="2F4F4F"/>
          <w:sz w:val="17"/>
          <w:szCs w:val="17"/>
        </w:rPr>
        <w:t xml:space="preserve">        await _idempotencyService.MarkProcessedAsync(key, GetType().Name);</w:t>
      </w:r>
    </w:p>
    <w:p>
      <w:pPr>
        <w:pStyle w:val="CodeBlock"/>
      </w:pPr>
      <w:r>
        <w:rPr>
          <w:rFonts w:ascii="Consolas" w:cs="Consolas" w:eastAsia="Consolas" w:hAnsi="Consolas"/>
          <w:color w:val="2F4F4F"/>
          <w:sz w:val="17"/>
          <w:szCs w:val="17"/>
        </w:rPr>
        <w:t xml:space="preserve">    }</w:t>
      </w:r>
    </w:p>
    <w:p>
      <w:pPr>
        <w:pStyle w:val="CodeBlock"/>
      </w:pPr>
      <w:r>
        <w:rPr>
          <w:rFonts w:ascii="Consolas" w:cs="Consolas" w:eastAsia="Consolas" w:hAnsi="Consolas"/>
          <w:color w:val="2F4F4F"/>
          <w:sz w:val="17"/>
          <w:szCs w:val="17"/>
        </w:rPr>
        <w:t xml:space="preserve">}</w:t>
      </w:r>
    </w:p>
    <w:p>
      <w:pPr>
        <w:pBdr>
          <w:bottom w:val="single" w:color="CCCCCC" w:sz="2"/>
        </w:pBdr>
        <w:spacing w:after="120" w:before="120"/>
      </w:pPr>
      <w:r>
        <w:t xml:space="preserve"/>
      </w:r>
    </w:p>
    <w:p>
      <w:pPr>
        <w:spacing w:before="400"/>
        <w:jc w:val="center"/>
      </w:pPr>
      <w:r>
        <w:rPr>
          <w:color w:val="9CA3AF"/>
          <w:sz w:val="18"/>
          <w:szCs w:val="18"/>
        </w:rPr>
        <w:t xml:space="preserve">KYNAKEE PLATFORM · Module Contracts v1.0 · 2026-08-20</w:t>
      </w:r>
    </w:p>
    <w:p>
      <w:pPr>
        <w:jc w:val="center"/>
      </w:pPr>
      <w:r>
        <w:rPr>
          <w:i/>
          <w:iCs/>
          <w:color w:val="9CA3AF"/>
          <w:sz w:val="18"/>
          <w:szCs w:val="18"/>
        </w:rPr>
        <w:t xml:space="preserve">Confidential · For internal development use only</w:t>
      </w:r>
    </w:p>
    <w:sectPr>
      <w:pgSz w:w="11906" w:h="16838"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480"/>
      </w:pPr>
    </w:lvl>
  </w:abstractNum>
  <w:abstractNum w:abstractNumId="3" w15:restartNumberingAfterBreak="0">
    <w:multiLevelType w:val="hybridMultilevel"/>
    <w:lvl w:ilvl="0" w15:tentative="1">
      <w:start w:val="1"/>
      <w:numFmt w:val="bullet"/>
      <w:lvlText w:val="•"/>
      <w:lvlJc w:val="left"/>
      <w:pPr>
        <w:ind w:left="720" w:hanging="480"/>
      </w:pPr>
    </w:lvl>
  </w:abstractNum>
  <w:abstractNum w:abstractNumId="4" w15:restartNumberingAfterBreak="0">
    <w:multiLevelType w:val="hybridMultilevel"/>
    <w:lvl w:ilvl="0" w15:tentative="1">
      <w:start w:val="1"/>
      <w:numFmt w:val="bullet"/>
      <w:lvlText w:val="•"/>
      <w:lvlJc w:val="left"/>
      <w:pPr>
        <w:ind w:left="720" w:hanging="480"/>
      </w:pPr>
    </w:lvl>
  </w:abstractNum>
  <w:abstractNum w:abstractNumId="5" w15:restartNumberingAfterBreak="0">
    <w:multiLevelType w:val="hybridMultilevel"/>
    <w:lvl w:ilvl="0" w15:tentative="1">
      <w:start w:val="1"/>
      <w:numFmt w:val="bullet"/>
      <w:lvlText w:val="•"/>
      <w:lvlJc w:val="left"/>
      <w:pPr>
        <w:ind w:left="720" w:hanging="480"/>
      </w:pPr>
    </w:lvl>
  </w:abstractNum>
  <w:abstractNum w:abstractNumId="6" w15:restartNumberingAfterBreak="0">
    <w:multiLevelType w:val="hybridMultilevel"/>
    <w:lvl w:ilvl="0" w15:tentative="1">
      <w:start w:val="1"/>
      <w:numFmt w:val="bullet"/>
      <w:lvlText w:val="•"/>
      <w:lvlJc w:val="left"/>
      <w:pPr>
        <w:ind w:left="720" w:hanging="480"/>
      </w:pPr>
    </w:lvl>
  </w:abstractNum>
  <w:abstractNum w:abstractNumId="7" w15:restartNumberingAfterBreak="0">
    <w:multiLevelType w:val="hybridMultilevel"/>
    <w:lvl w:ilvl="0" w15:tentative="1">
      <w:start w:val="1"/>
      <w:numFmt w:val="bullet"/>
      <w:lvlText w:val="•"/>
      <w:lvlJc w:val="left"/>
      <w:pPr>
        <w:ind w:left="720" w:hanging="480"/>
      </w:pPr>
    </w:lvl>
  </w:abstractNum>
  <w:abstractNum w:abstractNumId="8" w15:restartNumberingAfterBreak="0">
    <w:multiLevelType w:val="hybridMultilevel"/>
    <w:lvl w:ilvl="0" w15:tentative="1">
      <w:start w:val="1"/>
      <w:numFmt w:val="bullet"/>
      <w:lvlText w:val="•"/>
      <w:lvlJc w:val="left"/>
      <w:pPr>
        <w:ind w:left="720" w:hanging="480"/>
      </w:pPr>
    </w:lvl>
  </w:abstractNum>
  <w:abstractNum w:abstractNumId="9" w15:restartNumberingAfterBreak="0">
    <w:multiLevelType w:val="hybridMultilevel"/>
    <w:lvl w:ilvl="0" w15:tentative="1">
      <w:start w:val="1"/>
      <w:numFmt w:val="bullet"/>
      <w:lvlText w:val="•"/>
      <w:lvlJc w:val="left"/>
      <w:pPr>
        <w:ind w:left="720" w:hanging="480"/>
      </w:pPr>
    </w:lvl>
  </w:abstractNum>
  <w:abstractNum w:abstractNumId="10" w15:restartNumberingAfterBreak="0">
    <w:multiLevelType w:val="hybridMultilevel"/>
    <w:lvl w:ilvl="0" w15:tentative="1">
      <w:start w:val="1"/>
      <w:numFmt w:val="bullet"/>
      <w:lvlText w:val="•"/>
      <w:lvlJc w:val="left"/>
      <w:pPr>
        <w:ind w:left="720" w:hanging="480"/>
      </w:pPr>
    </w:lvl>
  </w:abstractNum>
  <w:abstractNum w:abstractNumId="11" w15:restartNumberingAfterBreak="0">
    <w:multiLevelType w:val="hybridMultilevel"/>
    <w:lvl w:ilvl="0" w15:tentative="1">
      <w:start w:val="1"/>
      <w:numFmt w:val="bullet"/>
      <w:lvlText w:val="•"/>
      <w:lvlJc w:val="left"/>
      <w:pPr>
        <w:ind w:left="720" w:hanging="480"/>
      </w:pPr>
    </w:lvl>
  </w:abstractNum>
  <w:abstractNum w:abstractNumId="12" w15:restartNumberingAfterBreak="0">
    <w:multiLevelType w:val="hybridMultilevel"/>
    <w:lvl w:ilvl="0" w15:tentative="1">
      <w:start w:val="1"/>
      <w:numFmt w:val="bullet"/>
      <w:lvlText w:val="•"/>
      <w:lvlJc w:val="left"/>
      <w:pPr>
        <w:ind w:left="720" w:hanging="480"/>
      </w:pPr>
    </w:lvl>
  </w:abstractNum>
  <w:abstractNum w:abstractNumId="13" w15:restartNumberingAfterBreak="0">
    <w:multiLevelType w:val="hybridMultilevel"/>
    <w:lvl w:ilvl="0" w15:tentative="1">
      <w:start w:val="1"/>
      <w:numFmt w:val="bullet"/>
      <w:lvlText w:val="•"/>
      <w:lvlJc w:val="left"/>
      <w:pPr>
        <w:ind w:left="720" w:hanging="480"/>
      </w:pPr>
    </w:lvl>
  </w:abstractNum>
  <w:abstractNum w:abstractNumId="14" w15:restartNumberingAfterBreak="0">
    <w:multiLevelType w:val="hybridMultilevel"/>
    <w:lvl w:ilvl="0" w15:tentative="1">
      <w:start w:val="1"/>
      <w:numFmt w:val="bullet"/>
      <w:lvlText w:val="•"/>
      <w:lvlJc w:val="left"/>
      <w:pPr>
        <w:ind w:left="720" w:hanging="480"/>
      </w:pPr>
    </w:lvl>
  </w:abstractNum>
  <w:abstractNum w:abstractNumId="15" w15:restartNumberingAfterBreak="0">
    <w:multiLevelType w:val="hybridMultilevel"/>
    <w:lvl w:ilvl="0" w15:tentative="1">
      <w:start w:val="1"/>
      <w:numFmt w:val="bullet"/>
      <w:lvlText w:val="•"/>
      <w:lvlJc w:val="left"/>
      <w:pPr>
        <w:ind w:left="720" w:hanging="480"/>
      </w:pPr>
    </w:lvl>
  </w:abstractNum>
  <w:abstractNum w:abstractNumId="16" w15:restartNumberingAfterBreak="0">
    <w:multiLevelType w:val="hybridMultilevel"/>
    <w:lvl w:ilvl="0" w15:tentative="1">
      <w:start w:val="1"/>
      <w:numFmt w:val="bullet"/>
      <w:lvlText w:val="•"/>
      <w:lvlJc w:val="left"/>
      <w:pPr>
        <w:ind w:left="720" w:hanging="480"/>
      </w:pPr>
    </w:lvl>
  </w:abstractNum>
  <w:abstractNum w:abstractNumId="17" w15:restartNumberingAfterBreak="0">
    <w:multiLevelType w:val="hybridMultilevel"/>
    <w:lvl w:ilvl="0" w15:tentative="1">
      <w:start w:val="1"/>
      <w:numFmt w:val="bullet"/>
      <w:lvlText w:val="•"/>
      <w:lvlJc w:val="left"/>
      <w:pPr>
        <w:ind w:left="720" w:hanging="480"/>
      </w:pPr>
    </w:lvl>
  </w:abstractNum>
  <w:abstractNum w:abstractNumId="18" w15:restartNumberingAfterBreak="0">
    <w:multiLevelType w:val="hybridMultilevel"/>
    <w:lvl w:ilvl="0" w15:tentative="1">
      <w:start w:val="1"/>
      <w:numFmt w:val="bullet"/>
      <w:lvlText w:val="•"/>
      <w:lvlJc w:val="left"/>
      <w:pPr>
        <w:ind w:left="720" w:hanging="480"/>
      </w:pPr>
    </w:lvl>
  </w:abstractNum>
  <w:abstractNum w:abstractNumId="19" w15:restartNumberingAfterBreak="0">
    <w:multiLevelType w:val="hybridMultilevel"/>
    <w:lvl w:ilvl="0" w15:tentative="1">
      <w:start w:val="1"/>
      <w:numFmt w:val="bullet"/>
      <w:lvlText w:val="•"/>
      <w:lvlJc w:val="left"/>
      <w:pPr>
        <w:ind w:left="720" w:hanging="480"/>
      </w:pPr>
    </w:lvl>
  </w:abstractNum>
  <w:abstractNum w:abstractNumId="20" w15:restartNumberingAfterBreak="0">
    <w:multiLevelType w:val="hybridMultilevel"/>
    <w:lvl w:ilvl="0" w15:tentative="1">
      <w:start w:val="1"/>
      <w:numFmt w:val="bullet"/>
      <w:lvlText w:val="•"/>
      <w:lvlJc w:val="left"/>
      <w:pPr>
        <w:ind w:left="720" w:hanging="480"/>
      </w:pPr>
    </w:lvl>
  </w:abstractNum>
  <w:abstractNum w:abstractNumId="21" w15:restartNumberingAfterBreak="0">
    <w:multiLevelType w:val="hybridMultilevel"/>
    <w:lvl w:ilvl="0" w15:tentative="1">
      <w:start w:val="1"/>
      <w:numFmt w:val="bullet"/>
      <w:lvlText w:val="•"/>
      <w:lvlJc w:val="left"/>
      <w:pPr>
        <w:ind w:left="720" w:hanging="4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80" w:before="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480"/>
      <w:jc w:val="center"/>
    </w:pPr>
    <w:rPr>
      <w:rFonts w:ascii="Calibri" w:cs="Calibri" w:eastAsia="Calibri" w:hAnsi="Calibri"/>
      <w:b/>
      <w:bCs/>
      <w:color w:val="1F3864"/>
      <w:sz w:val="44"/>
      <w:szCs w:val="44"/>
    </w:rPr>
  </w:style>
  <w:style w:type="paragraph" w:styleId="Heading1">
    <w:name w:val="Heading 1"/>
    <w:basedOn w:val="Normal"/>
    <w:next w:val="Normal"/>
    <w:qFormat/>
    <w:pPr>
      <w:spacing w:after="100" w:before="320"/>
    </w:pPr>
    <w:rPr>
      <w:rFonts w:ascii="Calibri" w:cs="Calibri" w:eastAsia="Calibri" w:hAnsi="Calibri"/>
      <w:b/>
      <w:bCs/>
      <w:color w:val="1F3864"/>
      <w:sz w:val="30"/>
      <w:szCs w:val="30"/>
    </w:rPr>
  </w:style>
  <w:style w:type="paragraph" w:styleId="Heading2">
    <w:name w:val="Heading 2"/>
    <w:basedOn w:val="Normal"/>
    <w:next w:val="Normal"/>
    <w:qFormat/>
    <w:pPr>
      <w:spacing w:after="60" w:before="200"/>
    </w:pPr>
    <w:rPr>
      <w:rFonts w:ascii="Calibri" w:cs="Calibri" w:eastAsia="Calibri" w:hAnsi="Calibri"/>
      <w:b/>
      <w:bCs/>
      <w:color w:val="2E74B5"/>
      <w:sz w:val="24"/>
      <w:szCs w:val="24"/>
    </w:rPr>
  </w:style>
  <w:style w:type="paragraph" w:styleId="Heading3">
    <w:name w:val="Heading 3"/>
    <w:basedOn w:val="Normal"/>
    <w:next w:val="Normal"/>
    <w:qFormat/>
    <w:pPr>
      <w:spacing w:after="40" w:before="160"/>
    </w:pPr>
    <w:rPr>
      <w:rFonts w:ascii="Calibri" w:cs="Calibri" w:eastAsia="Calibri" w:hAnsi="Calibri"/>
      <w:b/>
      <w:bCs/>
      <w:color w:val="404040"/>
      <w:sz w:val="22"/>
      <w:szCs w:val="22"/>
    </w:rPr>
  </w:style>
  <w:style w:type="paragraph" w:styleId="CodeBlock">
    <w:name w:val="Code Block"/>
    <w:basedOn w:val="Normal"/>
    <w:pPr>
      <w:spacing w:after="40" w:before="40"/>
      <w:ind w:left="360"/>
    </w:pPr>
    <w:rPr>
      <w:rFonts w:ascii="Consolas" w:cs="Consolas" w:eastAsia="Consolas" w:hAnsi="Consolas"/>
      <w:color w:val="2F4F4F"/>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2026-08-30T13:13:33.796Z</dcterms:created>
  <dcterms:modified xsi:type="dcterms:W3CDTF">2026-08-30T13:13:33.797Z</dcterms:modified>
</cp:coreProperties>
</file>

<file path=docProps/custom.xml><?xml version="1.0" encoding="utf-8"?>
<Properties xmlns="http://schemas.openxmlformats.org/officeDocument/2006/custom-properties" xmlns:vt="http://schemas.openxmlformats.org/officeDocument/2006/docPropsVTypes"/>
</file>