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KYNAKEE PLATFORM</w:t>
      </w:r>
    </w:p>
    <w:p>
      <w:pPr>
        <w:spacing w:after="100" w:before="0"/>
        <w:jc w:val="center"/>
      </w:pPr>
      <w:r>
        <w:rPr>
          <w:b/>
          <w:bCs/>
          <w:color w:val="2E74B5"/>
          <w:sz w:val="28"/>
          <w:szCs w:val="28"/>
        </w:rPr>
        <w:t xml:space="preserve">Technical Roadmap</w:t>
      </w:r>
    </w:p>
    <w:p>
      <w:pPr>
        <w:spacing w:after="80" w:before="0"/>
        <w:jc w:val="center"/>
      </w:pPr>
      <w:r>
        <w:rPr>
          <w:i/>
          <w:iCs/>
          <w:color w:val="595959"/>
          <w:sz w:val="24"/>
          <w:szCs w:val="24"/>
        </w:rPr>
        <w:t xml:space="preserve">18-Month Plan · MVP to Scale · .NET 10 · Next.js 15 · Hetzner</w:t>
      </w:r>
    </w:p>
    <w:p>
      <w:pPr>
        <w:spacing w:after="400" w:before="0"/>
        <w:jc w:val="center"/>
      </w:pPr>
      <w:r>
        <w:rPr>
          <w:color w:val="9CA3AF"/>
          <w:sz w:val="20"/>
          <w:szCs w:val="20"/>
        </w:rPr>
        <w:t xml:space="preserve">v1.0 · 2026-08-20 · Confidential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toc" w:id="1"/>
      <w:r>
        <w:t xml:space="preserve">Table of Contents</w:t>
      </w:r>
      <w:bookmarkEnd w:id="1"/>
    </w:p>
    <w:p>
      <w:pPr>
        <w:spacing w:after="40" w:before="40"/>
      </w:pPr>
      <w:hyperlink w:history="1" w:anchor="s1">
        <w:r>
          <w:rPr>
            <w:rStyle w:val="Hyperlink"/>
            <w:sz w:val="22"/>
            <w:szCs w:val="22"/>
          </w:rPr>
          <w:t xml:space="preserve">1. Roadmap Overview</w:t>
        </w:r>
      </w:hyperlink>
    </w:p>
    <w:p>
      <w:pPr>
        <w:spacing w:after="40" w:before="40"/>
      </w:pPr>
      <w:hyperlink w:history="1" w:anchor="s2">
        <w:r>
          <w:rPr>
            <w:rStyle w:val="Hyperlink"/>
            <w:sz w:val="22"/>
            <w:szCs w:val="22"/>
          </w:rPr>
          <w:t xml:space="preserve">2. Phase 0 — Sprint 0: Technical Foundation (Month 1)</w:t>
        </w:r>
      </w:hyperlink>
    </w:p>
    <w:p>
      <w:pPr>
        <w:spacing w:after="40" w:before="40"/>
      </w:pPr>
      <w:hyperlink w:history="1" w:anchor="s3">
        <w:r>
          <w:rPr>
            <w:rStyle w:val="Hyperlink"/>
            <w:sz w:val="22"/>
            <w:szCs w:val="22"/>
          </w:rPr>
          <w:t xml:space="preserve">3. Phase 1 — Sprint 1: Core Phase Operations (Month 2)</w:t>
        </w:r>
      </w:hyperlink>
    </w:p>
    <w:p>
      <w:pPr>
        <w:spacing w:after="40" w:before="40"/>
      </w:pPr>
      <w:hyperlink w:history="1" w:anchor="s4">
        <w:r>
          <w:rPr>
            <w:rStyle w:val="Hyperlink"/>
            <w:sz w:val="22"/>
            <w:szCs w:val="22"/>
          </w:rPr>
          <w:t xml:space="preserve">4. Phase 2 — Sprint 2: AI Integration &amp; MCP Network (Month 3)</w:t>
        </w:r>
      </w:hyperlink>
    </w:p>
    <w:p>
      <w:pPr>
        <w:spacing w:after="40" w:before="40"/>
      </w:pPr>
      <w:hyperlink w:history="1" w:anchor="s5">
        <w:r>
          <w:rPr>
            <w:rStyle w:val="Hyperlink"/>
            <w:sz w:val="22"/>
            <w:szCs w:val="22"/>
          </w:rPr>
          <w:t xml:space="preserve">5. Phase 3 — Sprint 3: Bot Channels &amp; Real-Time (Month 4)</w:t>
        </w:r>
      </w:hyperlink>
    </w:p>
    <w:p>
      <w:pPr>
        <w:spacing w:after="40" w:before="40"/>
      </w:pPr>
      <w:hyperlink w:history="1" w:anchor="s6">
        <w:r>
          <w:rPr>
            <w:rStyle w:val="Hyperlink"/>
            <w:sz w:val="22"/>
            <w:szCs w:val="22"/>
          </w:rPr>
          <w:t xml:space="preserve">6. Phase 4 — Sprint 4: Billing, Payments &amp; Plans (Month 5)</w:t>
        </w:r>
      </w:hyperlink>
    </w:p>
    <w:p>
      <w:pPr>
        <w:spacing w:after="40" w:before="40"/>
      </w:pPr>
      <w:hyperlink w:history="1" w:anchor="s7">
        <w:r>
          <w:rPr>
            <w:rStyle w:val="Hyperlink"/>
            <w:sz w:val="22"/>
            <w:szCs w:val="22"/>
          </w:rPr>
          <w:t xml:space="preserve">7. Phase 5 — Sprint 5: Knowledge Base &amp; APU Library (Month 6)</w:t>
        </w:r>
      </w:hyperlink>
    </w:p>
    <w:p>
      <w:pPr>
        <w:spacing w:after="40" w:before="40"/>
      </w:pPr>
      <w:hyperlink w:history="1" w:anchor="s8">
        <w:r>
          <w:rPr>
            <w:rStyle w:val="Hyperlink"/>
            <w:sz w:val="22"/>
            <w:szCs w:val="22"/>
          </w:rPr>
          <w:t xml:space="preserve">8. Phase 6 — Months 7-9: Hardening &amp; Scale</w:t>
        </w:r>
      </w:hyperlink>
    </w:p>
    <w:p>
      <w:pPr>
        <w:spacing w:after="40" w:before="40"/>
      </w:pPr>
      <w:hyperlink w:history="1" w:anchor="s9">
        <w:r>
          <w:rPr>
            <w:rStyle w:val="Hyperlink"/>
            <w:sz w:val="22"/>
            <w:szCs w:val="22"/>
          </w:rPr>
          <w:t xml:space="preserve">9. Phase 7 — Months 10-12: LATAM Expansion</w:t>
        </w:r>
      </w:hyperlink>
    </w:p>
    <w:p>
      <w:pPr>
        <w:spacing w:after="40" w:before="40"/>
      </w:pPr>
      <w:hyperlink w:history="1" w:anchor="s10">
        <w:r>
          <w:rPr>
            <w:rStyle w:val="Hyperlink"/>
            <w:sz w:val="22"/>
            <w:szCs w:val="22"/>
          </w:rPr>
          <w:t xml:space="preserve">10. Phase 8 — Months 13-18: Enterprise &amp; Microservices Migration</w:t>
        </w:r>
      </w:hyperlink>
    </w:p>
    <w:p>
      <w:pPr>
        <w:spacing w:after="40" w:before="40"/>
      </w:pPr>
      <w:hyperlink w:history="1" w:anchor="s11">
        <w:r>
          <w:rPr>
            <w:rStyle w:val="Hyperlink"/>
            <w:sz w:val="22"/>
            <w:szCs w:val="22"/>
          </w:rPr>
          <w:t xml:space="preserve">11. Technical Debt &amp; Non-Functional Roadmap</w:t>
        </w:r>
      </w:hyperlink>
    </w:p>
    <w:p>
      <w:pPr>
        <w:spacing w:after="40" w:before="40"/>
      </w:pPr>
      <w:hyperlink w:history="1" w:anchor="s12">
        <w:r>
          <w:rPr>
            <w:rStyle w:val="Hyperlink"/>
            <w:sz w:val="22"/>
            <w:szCs w:val="22"/>
          </w:rPr>
          <w:t xml:space="preserve">12. Key Milestones Summary</w:t>
        </w:r>
      </w:hyperlink>
    </w:p>
    <w:p>
      <w:r>
        <w:br w:type="page"/>
      </w:r>
    </w:p>
    <w:p>
      <w:pPr>
        <w:pStyle w:val="Heading1"/>
      </w:pPr>
      <w:bookmarkStart w:name="s1" w:id="1"/>
      <w:r>
        <w:t xml:space="preserve">1. Roadmap Overview</w:t>
      </w:r>
      <w:bookmarkEnd w:id="1"/>
    </w:p>
    <w:p>
      <w:r>
        <w:rPr>
          <w:sz w:val="22"/>
          <w:szCs w:val="22"/>
        </w:rPr>
        <w:t xml:space="preserve">This Technical Roadmap defines the 18-month development plan for the Kynakee platform, from MVP launch to enterprise-grade scale. It is organized in 8 phases aligned with business milestones and technical maturity.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560"/>
        <w:gridCol w:w="1560"/>
        <w:gridCol w:w="2340"/>
        <w:gridCol w:w="390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Timeline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Focus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Key Deliverable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Month 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Technical Foundation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MVP: POST /api/v1/projects working end-to-end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Month 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Core Phase Operations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All 9 phases functional (no AI yet)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Month 3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AI + MCP Integration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Full AI-powered budget generation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3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Month 4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Bot Channels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Telegram + WhatsApp fully operational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4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Month 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Billing + Payments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Stripe subscriptions + credit system live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Month 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Knowledge Base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APU library with 500+ templates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Months 7-9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Hardening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99.5% uptime, 80% test coverage, security audit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7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Months 10-12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LATAM Expansion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Mexico/Colombia market, multi-region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8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Months 13-18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Enterprise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BIM integration, microservices extraction</w:t>
            </w:r>
          </w:p>
        </w:tc>
      </w:tr>
    </w:tbl>
    <w:p>
      <w:pPr>
        <w:pBdr>
          <w:left w:val="single" w:color="1F3864" w:sz="8"/>
        </w:pBdr>
        <w:spacing w:after="80" w:before="80"/>
        <w:ind w:left="720"/>
      </w:pPr>
      <w:r>
        <w:rPr>
          <w:b/>
          <w:bCs/>
          <w:color w:val="1F3864"/>
          <w:sz w:val="22"/>
          <w:szCs w:val="22"/>
        </w:rPr>
        <w:t xml:space="preserve">North Star Metric: </w:t>
      </w:r>
      <w:r>
        <w:rPr>
          <w:sz w:val="22"/>
          <w:szCs w:val="22"/>
        </w:rPr>
        <w:t xml:space="preserve">Number of APUs in the Global Knowledge Base. This metric captures both user adoption (more projects = more APUs) and product quality (more APUs = better accuracy = lower cost per project).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2" w:id="1"/>
      <w:r>
        <w:t xml:space="preserve">2. Phase 0 — Sprint 0: Technical Foundation (Month 1)</w:t>
      </w:r>
      <w:bookmarkEnd w:id="1"/>
    </w:p>
    <w:p>
      <w:r>
        <w:rPr>
          <w:sz w:val="22"/>
          <w:szCs w:val="22"/>
        </w:rPr>
        <w:t xml:space="preserve">Goal: Establish the complete technical foundation. No business features. Only infrastructure, scaffolding, and the first working vertical slice.</w:t>
      </w:r>
    </w:p>
    <w:p>
      <w:pPr>
        <w:pStyle w:val="Heading2"/>
      </w:pPr>
      <w:r>
        <w:t xml:space="preserve">Definition of Done</w:t>
      </w:r>
    </w:p>
    <w:p>
      <w:pPr>
        <w:pBdr>
          <w:left w:val="single" w:color="10B981" w:sz="8"/>
        </w:pBdr>
        <w:spacing w:after="80" w:before="80"/>
        <w:ind w:left="720"/>
      </w:pPr>
      <w:r>
        <w:rPr>
          <w:b/>
          <w:bCs/>
          <w:color w:val="10B981"/>
          <w:sz w:val="22"/>
          <w:szCs w:val="22"/>
        </w:rPr>
        <w:t xml:space="preserve">DoD: </w:t>
      </w:r>
      <w:r>
        <w:rPr>
          <w:sz w:val="22"/>
          <w:szCs w:val="22"/>
        </w:rPr>
        <w:t xml:space="preserve">docker-compose up → POST /api/v1/projects returns 201 with JWT auth, tenant isolation, EF Core migrations applied, and response logged with CorrelationId.</w:t>
      </w:r>
    </w:p>
    <w:p>
      <w:pPr>
        <w:pStyle w:val="Heading2"/>
      </w:pPr>
      <w:r>
        <w:t xml:space="preserve">Key Deliverables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GitHub repository with Gitflow + CI pipeline (80% coverage gate)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docker-compose.dev.yml with all 7 services (PostgreSQL, Qdrant, Redis, RabbitMQ, NGrok)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.NET 10 solution with all 7 module projects + shared kernel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6 MediatR pipeline behaviors in correct order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YARP gateway with JWT + CorrelationId + rate limiting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Identity module: register + login endpoints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Projects module: Project aggregate (20+ unit tests) + CreateProject vertical slice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Billing module: CreditAccount aggregate + TenantCreated consumer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MassTransit + Outbox + RabbitMQ operational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Next.js 15: login + dashboard + project list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Telegram bot: basic conversation flow</w:t>
      </w:r>
    </w:p>
    <w:p>
      <w:pPr>
        <w:pStyle w:val="Heading2"/>
      </w:pPr>
      <w:r>
        <w:t xml:space="preserve">Technical Risks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Risk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Probability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1-month timeline too aggressive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Focus on P0 deliverables only. P1/P2 move to Sprint 1.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MassTransit Outbox configuration complexity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Use MassTransit official PostgreSQL Outbox docs. Test early.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Next.js + .NET CORS issues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Configure CORS in YARP from day 1.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3" w:id="1"/>
      <w:r>
        <w:t xml:space="preserve">3. Phase 1 — Sprint 1: Core Phase Operations (Month 2)</w:t>
      </w:r>
      <w:bookmarkEnd w:id="1"/>
    </w:p>
    <w:p>
      <w:r>
        <w:rPr>
          <w:sz w:val="22"/>
          <w:szCs w:val="22"/>
        </w:rPr>
        <w:t xml:space="preserve">Goal: All 9 project phases functional with manual data entry (no AI yet). Users can create a complete project and generate an offer using manually entered data.</w:t>
      </w:r>
    </w:p>
    <w:p>
      <w:pPr>
        <w:pStyle w:val="Heading2"/>
      </w:pPr>
      <w:r>
        <w:t xml:space="preserve">Key Deliverables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Phase 1 (Capture): multimedia upload endpoint + file storage (S3-compatible)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Phase 2 (Context): territorial + normative + labor + economic data entry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Phase 3 (Scope): manual work item creation + canonical concept lookup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Phase 4 (Production): manual APU assignment from KnowledgeBase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Phase 5 (Planning): manual schedule creation with PERT/Gantt data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Phase 6 (Valuation): manual component pricing entry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Phase 7 (Review): human approval flow + AI Act Art. 14 compliance log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Phase 8 (Offer): PDF generation (wkhtmltopdf or similar)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SignalR real-time notifications for phase transitions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Next.js: full project lifecycle UI (all 9 phases)</w:t>
      </w:r>
    </w:p>
    <w:p>
      <w:pPr>
        <w:pStyle w:val="Heading2"/>
      </w:pPr>
      <w:r>
        <w:t xml:space="preserve">Success Metrics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End-to-end project completion (manual)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&lt; 30 minutes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API response time (non-AI endpoints)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&lt; 200ms p95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Test coverage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&gt; 80%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First paying customer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1 reformador using the system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4" w:id="1"/>
      <w:r>
        <w:t xml:space="preserve">4. Phase 2 — Sprint 2: AI Integration &amp; MCP Network (Month 3)</w:t>
      </w:r>
      <w:bookmarkEnd w:id="1"/>
    </w:p>
    <w:p>
      <w:r>
        <w:rPr>
          <w:sz w:val="22"/>
          <w:szCs w:val="22"/>
        </w:rPr>
        <w:t xml:space="preserve">Goal: Full AI-powered budget generation. Users can complete a project from site visit to offer in under 30 minutes using AI assistance.</w:t>
      </w:r>
    </w:p>
    <w:p>
      <w:pPr>
        <w:pStyle w:val="Heading2"/>
      </w:pPr>
      <w:r>
        <w:t xml:space="preserve">Key Deliverables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Microsoft Agents Framework integration (DeepSeek-V3 + Gemini Flash)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CaptureAgent: image/video analysis + work item extraction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ScopeAgent: canonical concept mapping from capture evidence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ProductionAgent: APU generation from KnowledgeBase or new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PlanningAgent: automatic schedule sequencing + critical path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ValuationAgent: component pricing orchestration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OfferAgent: commercial narrative generation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TokenGateBehavior: credit reservation/consumption/release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First 3 MCP providers integrated (ceramics, plumbing, electrical)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Fallback chain per component (MCP → Cache → Internet)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Gemini text-embedding-004 + Qdrant for APU semantic search</w:t>
      </w:r>
    </w:p>
    <w:p>
      <w:pPr>
        <w:pStyle w:val="Heading2"/>
      </w:pPr>
      <w:r>
        <w:t xml:space="preserve">AI Provider Configuration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Agent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Primary Model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Fallback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CaptureAgent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gemini-flash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deepseek-v3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ScopeAgent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deepseek-v3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deepseek-v3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ProductionAgent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deepseek-v3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deepseek-v3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PlanningAgent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deepseek-v3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deepseek-v3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ValuationAgent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deepseek-v3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deepseek-v3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OfferAgent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gemini-flash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deepseek-v3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ConversationAgent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gemma4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deepseek-v3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5" w:id="1"/>
      <w:r>
        <w:t xml:space="preserve">5. Phase 3 — Sprint 3: Bot Channels &amp; Real-Time (Month 4)</w:t>
      </w:r>
      <w:bookmarkEnd w:id="1"/>
    </w:p>
    <w:p>
      <w:r>
        <w:rPr>
          <w:sz w:val="22"/>
          <w:szCs w:val="22"/>
        </w:rPr>
        <w:t xml:space="preserve">Goal: Full conversational experience via Telegram and WhatsApp. Users can complete the entire 9-phase workflow from their mobile messaging app.</w:t>
      </w:r>
    </w:p>
    <w:p>
      <w:pPr>
        <w:pStyle w:val="Heading2"/>
      </w:pPr>
      <w:r>
        <w:t xml:space="preserve">Key Deliverables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Telegram bot: full 9-phase conversational flow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WhatsApp bot: full 9-phase conversational flow (Meta Cloud API)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SPA (System of Project Active): multi-project management per conversation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ConversationAgent: context-aware responses with project state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Bot timeout/pause/resume logic (30 min timeout, 24h resume prompt)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Motor de preguntas contextuales: ¿Por qué este rendimiento? ¿Cuánto cuesta?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Offer PDF delivery via bot (send PDF to WhatsApp/Telegram)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NGrok → production webhook migration (Hetzner staging)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6" w:id="1"/>
      <w:r>
        <w:t xml:space="preserve">6. Phase 4 — Sprint 4: Billing, Payments &amp; Plans (Month 5)</w:t>
      </w:r>
      <w:bookmarkEnd w:id="1"/>
    </w:p>
    <w:p>
      <w:r>
        <w:rPr>
          <w:sz w:val="22"/>
          <w:szCs w:val="22"/>
        </w:rPr>
        <w:t xml:space="preserve">Goal: Full credit economy operational. Stripe subscriptions live. First revenue.</w:t>
      </w:r>
    </w:p>
    <w:p>
      <w:pPr>
        <w:pStyle w:val="Heading2"/>
      </w:pPr>
      <w:r>
        <w:t xml:space="preserve">Key Deliverables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Stripe subscription integration (Starter, Pro, Studio, Business plans)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Bizum payment method via Stripe (Spain market)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Credit recharge flow (extra credit packs)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Subscription renewal automation (Hangfire recurring job)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Credit depletion alerts via bot + email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Admin panel: plan configuration, credit pricing, token limits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MCP provider compensation calculation (fraction per token)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Billing dashboard in Next.js (credit history, invoices)</w:t>
      </w:r>
    </w:p>
    <w:p>
      <w:pPr>
        <w:pStyle w:val="Heading2"/>
      </w:pPr>
      <w:r>
        <w:t xml:space="preserve">Revenue Targets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Month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Paying Customers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MRR Target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Month 5 (launch)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€1.500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Month 6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80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€5.500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Month 9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180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€12.000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Month 12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320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€22.000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7" w:id="1"/>
      <w:r>
        <w:t xml:space="preserve">7. Phase 5 — Sprint 5: Knowledge Base &amp; APU Library (Month 6)</w:t>
      </w:r>
      <w:bookmarkEnd w:id="1"/>
    </w:p>
    <w:p>
      <w:r>
        <w:rPr>
          <w:sz w:val="22"/>
          <w:szCs w:val="22"/>
        </w:rPr>
        <w:t xml:space="preserve">Goal: Global APU Knowledge Base with 500+ validated templates. The flywheel starts: more projects = more APUs = lower cost per project.</w:t>
      </w:r>
    </w:p>
    <w:p>
      <w:pPr>
        <w:pStyle w:val="Heading2"/>
      </w:pPr>
      <w:r>
        <w:t xml:space="preserve">Key Deliverables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APU template import from public sources (CYPE, BEDEC, PREOC)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Canonical concept taxonomy: 200+ concepts across 15 categories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Multilingual support: ES, EN, FR, PT for all canonical concepts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APU quality scoring: confidence, usage count, regional coverage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Semantic search optimization: Qdrant HNSW index tuning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APU contribution flow: projects auto-contribute anonymized APUs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Admin panel: APU review, validation, canonical concept management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KnowledgeBase API: public search endpoint for MCP providers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8" w:id="1"/>
      <w:r>
        <w:t xml:space="preserve">8. Phase 6 — Months 7-9: Hardening &amp; Scale</w:t>
      </w:r>
      <w:bookmarkEnd w:id="1"/>
    </w:p>
    <w:p>
      <w:r>
        <w:rPr>
          <w:sz w:val="22"/>
          <w:szCs w:val="22"/>
        </w:rPr>
        <w:t xml:space="preserve">Goal: Production-grade reliability. 99.5% uptime. Security audit passed. Ready for aggressive growth.</w:t>
      </w:r>
    </w:p>
    <w:p>
      <w:pPr>
        <w:pStyle w:val="Heading2"/>
      </w:pPr>
      <w:r>
        <w:t xml:space="preserve">Technical Hardening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Penetration testing by external firm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GDPR compliance audit + DPA with all sub-processors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AI Act Art. 4 training program documented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AI Act System Card published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PostgreSQL read replicas for reporting queries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Redis cluster mode for high availability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RabbitMQ mirrored queues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Automated backup testing (restore drill monthly)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Load testing: 50 concurrent users sustained</w:t>
      </w:r>
    </w:p>
    <w:p>
      <w:pPr>
        <w:pStyle w:val="Heading2"/>
      </w:pPr>
      <w:r>
        <w:t xml:space="preserve">Performance Targets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API response time (non-AI)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&lt; 200ms p95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AI operation completion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&lt; 30s p95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System uptime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&gt; 99.5%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Test coverage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&gt; 80% (line + branch + method)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MTTR (Mean Time to Recovery)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&lt; 30 minutes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9" w:id="1"/>
      <w:r>
        <w:t xml:space="preserve">9. Phase 7 — Months 10-12: LATAM Expansion</w:t>
      </w:r>
      <w:bookmarkEnd w:id="1"/>
    </w:p>
    <w:p>
      <w:r>
        <w:rPr>
          <w:sz w:val="22"/>
          <w:szCs w:val="22"/>
        </w:rPr>
        <w:t xml:space="preserve">Goal: First LATAM market live (Mexico or Colombia). Multi-region infrastructure operational.</w:t>
      </w:r>
    </w:p>
    <w:p>
      <w:pPr>
        <w:pStyle w:val="Heading2"/>
      </w:pPr>
      <w:r>
        <w:t xml:space="preserve">Key Deliverables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Hetzner Ashburn (US East) deployment for LATAM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PostgreSQL logical replication: EU → LATAM read replica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Cloudflare geo-routing: users routed to nearest region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Mexico: LFPDPPP compliance (data protection law)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Colombia: Ley 1581/2012 compliance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MXN and COP currency support in Stripe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Mexican construction conventions (NMX, CONUEE)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Colombian collective agreements (Convenio Construccion Colombia)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Spanish + Portuguese language support in all bot channels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LATAM MCP provider network: first 5 providers in Mexico City</w:t>
      </w:r>
    </w:p>
    <w:p>
      <w:pPr>
        <w:pStyle w:val="Heading2"/>
      </w:pPr>
      <w:r>
        <w:t xml:space="preserve">LATAM Revenue Targets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Month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Total Customers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MRR Target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Month 12 (LATAM launch)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320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€22.000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Month 15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€35.000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Month 18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750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€55.000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10" w:id="1"/>
      <w:r>
        <w:t xml:space="preserve">10. Phase 8 — Months 13-18: Enterprise &amp; Microservices Migration</w:t>
      </w:r>
      <w:bookmarkEnd w:id="1"/>
    </w:p>
    <w:p>
      <w:r>
        <w:rPr>
          <w:sz w:val="22"/>
          <w:szCs w:val="22"/>
        </w:rPr>
        <w:t xml:space="preserve">Goal: Enterprise features for constructoras medianas and promotoras. Begin selective microservices extraction for modules that need independent scaling.</w:t>
      </w:r>
    </w:p>
    <w:p>
      <w:pPr>
        <w:pStyle w:val="Heading2"/>
      </w:pPr>
      <w:r>
        <w:t xml:space="preserve">Enterprise Features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BIM integration: IFC file import → automatic work item extraction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ERP integration: SAP, Holded, Sage via MCP Server protocol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Multi-workspace: delegaciones regionales within a tenant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Advanced analytics: project profitability, APU accuracy trends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White-label option for large constructoras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API access tier: Business plan gets direct API access</w:t>
      </w:r>
    </w:p>
    <w:p>
      <w:pPr>
        <w:pStyle w:val="Heading2"/>
      </w:pPr>
      <w:r>
        <w:t xml:space="preserve">Microservices Extraction Candidates</w:t>
      </w:r>
    </w:p>
    <w:p>
      <w:r>
        <w:rPr>
          <w:sz w:val="22"/>
          <w:szCs w:val="22"/>
        </w:rPr>
        <w:t xml:space="preserve">Extract modules to independent services only when justified by scale. Each module was designed for extraction from day 1.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Extraction Trigger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AI Module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&gt; 1000 concurrent AI requests/day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Independent scaling of GPU/LLM resources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KnowledgeBase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&gt; 10M APU templates in Qdrant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Dedicated vector DB cluster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MCP Module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&gt; 100 provider integrations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Independent provider network management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Bots Module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&gt; 50K active bot conversations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Independent bot infrastructure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Billing Module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Stripe volume &gt; €100K MRR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PCI compliance isolation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11" w:id="1"/>
      <w:r>
        <w:t xml:space="preserve">11. Technical Debt &amp; Non-Functional Roadmap</w:t>
      </w:r>
      <w:bookmarkEnd w:id="1"/>
    </w:p>
    <w:p>
      <w:pPr>
        <w:pStyle w:val="Heading2"/>
      </w:pPr>
      <w:r>
        <w:t xml:space="preserve">Planned Technical Debt Items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 Phase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Replace wkhtmltopdf with Puppeteer for PDF generation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Add OpenTelemetry traces to AI agent calls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Implement cursor-based pagination everywhere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Add contract tests (PactNet) for all integration events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Implement E2E tests with Playwright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4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Add Redis cache for frequently accessed APU templates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5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Implement database connection pooling (PgBouncer)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6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Add OpenAPI spec validation in CI pipeline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6</w:t>
            </w:r>
          </w:p>
        </w:tc>
      </w:tr>
    </w:tbl>
    <w:p>
      <w:pPr>
        <w:pStyle w:val="Heading2"/>
      </w:pPr>
      <w:r>
        <w:t xml:space="preserve">Security Roadmap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Month 1: JWT + HTTPS + input validation (baseline)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Month 3: Rate limiting per tenant + OWASP Top 10 review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Month 5: Stripe PCI compliance + secrets vault (HashiCorp Vault)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Month 7: External penetration test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Month 9: ISO 27001 gap analysis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Month 12: GDPR audit + AI Act System Card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12" w:id="1"/>
      <w:r>
        <w:t xml:space="preserve">12. Key Milestones Summary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560"/>
        <w:gridCol w:w="1560"/>
        <w:gridCol w:w="2340"/>
        <w:gridCol w:w="390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Month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Milestone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KPI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MVP: POST /api/v1/projects working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First vertical slice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Sprint 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All 9 phases functional (manual)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First complete project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Sprint 1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AI-powered budget generation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&lt; 30 min per project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Sprint 2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Telegram + WhatsApp operational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First bot project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Sprint 3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First revenue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20 paying customers, €1.5K MRR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Sprint 4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Knowledge Base live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500+ APU templates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Sprint 5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Production hardening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99.5% uptime, 180 customers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6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LATAM launch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320 customers, €22K MRR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7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Enterprise + microservices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750 customers, €55K MRR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Phase 8</w:t>
            </w:r>
          </w:p>
        </w:tc>
      </w:tr>
    </w:tbl>
    <w:p>
      <w:pPr>
        <w:pBdr>
          <w:left w:val="single" w:color="1F3864" w:sz="8"/>
        </w:pBdr>
        <w:spacing w:after="80" w:before="80"/>
        <w:ind w:left="720"/>
      </w:pPr>
      <w:r>
        <w:rPr>
          <w:b/>
          <w:bCs/>
          <w:color w:val="1F3864"/>
          <w:sz w:val="22"/>
          <w:szCs w:val="22"/>
        </w:rPr>
        <w:t xml:space="preserve">Flywheel: </w:t>
      </w:r>
      <w:r>
        <w:rPr>
          <w:sz w:val="22"/>
          <w:szCs w:val="22"/>
        </w:rPr>
        <w:t xml:space="preserve">More reformadores → More projects → More APUs in Knowledge Base → Lower cost per project → More competitive pricing → More reformadores. This is the core growth engine of Kynakee.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spacing w:before="400"/>
        <w:jc w:val="center"/>
      </w:pPr>
      <w:r>
        <w:rPr>
          <w:color w:val="9CA3AF"/>
          <w:sz w:val="18"/>
          <w:szCs w:val="18"/>
        </w:rPr>
        <w:t xml:space="preserve">KYNAKEE PLATFORM · Technical Roadmap v1.0 · 2026-08-20</w:t>
      </w:r>
    </w:p>
    <w:p>
      <w:pPr>
        <w:jc w:val="center"/>
      </w:pPr>
      <w:r>
        <w:rPr>
          <w:i/>
          <w:iCs/>
          <w:color w:val="9CA3AF"/>
          <w:sz w:val="18"/>
          <w:szCs w:val="18"/>
        </w:rPr>
        <w:t xml:space="preserve">18-Month Plan · MVP to Enterprise · Confidential</w:t>
      </w:r>
    </w:p>
    <w:sectPr>
      <w:pgSz w:w="11906" w:h="16838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80" w:before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480"/>
      <w:jc w:val="center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0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Calibri" w:cs="Calibri" w:eastAsia="Calibri" w:hAnsi="Calibri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60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2026-08-30T13:15:51.672Z</dcterms:created>
  <dcterms:modified xsi:type="dcterms:W3CDTF">2026-08-30T13:15:51.672Z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