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BF95C" w14:textId="77777777" w:rsidR="00070B12" w:rsidRDefault="00070B12" w:rsidP="00590B69">
      <w:pPr>
        <w:spacing w:after="0"/>
        <w:jc w:val="center"/>
        <w:rPr>
          <w:b/>
          <w:bCs/>
        </w:rPr>
      </w:pPr>
      <w:r w:rsidRPr="00070B12">
        <w:rPr>
          <w:b/>
          <w:bCs/>
        </w:rPr>
        <w:t>Crypto Arbitrage Analysis Report</w:t>
      </w:r>
    </w:p>
    <w:p w14:paraId="00C54E74" w14:textId="6D65E758" w:rsidR="00C84A48" w:rsidRPr="00070B12" w:rsidRDefault="00C84A48" w:rsidP="00590B69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By: </w:t>
      </w:r>
      <w:r w:rsidR="008A5685">
        <w:rPr>
          <w:b/>
          <w:bCs/>
        </w:rPr>
        <w:t xml:space="preserve">2025 </w:t>
      </w:r>
      <w:r w:rsidR="004D33B2">
        <w:rPr>
          <w:b/>
          <w:bCs/>
        </w:rPr>
        <w:t xml:space="preserve">Wall Street Quants Student, </w:t>
      </w:r>
      <w:r>
        <w:rPr>
          <w:b/>
          <w:bCs/>
        </w:rPr>
        <w:t>Arlieta Baldwin</w:t>
      </w:r>
    </w:p>
    <w:p w14:paraId="72BA206D" w14:textId="0A8F9CD9" w:rsidR="00070B12" w:rsidRPr="00070B12" w:rsidRDefault="00070B12" w:rsidP="00070B12">
      <w:pPr>
        <w:rPr>
          <w:b/>
          <w:bCs/>
        </w:rPr>
      </w:pPr>
      <w:r w:rsidRPr="00070B12">
        <w:rPr>
          <w:b/>
          <w:bCs/>
        </w:rPr>
        <w:t>Introduction</w:t>
      </w:r>
    </w:p>
    <w:p w14:paraId="697AE5EA" w14:textId="43F78CCB" w:rsidR="00070B12" w:rsidRPr="00070B12" w:rsidRDefault="00070B12" w:rsidP="00614FA3">
      <w:r w:rsidRPr="00070B12">
        <w:t>This report</w:t>
      </w:r>
      <w:r>
        <w:t xml:space="preserve"> is an analysis of statistical crypto</w:t>
      </w:r>
      <w:r w:rsidRPr="00070B12">
        <w:t xml:space="preserve"> arbitrage opportunities across selected </w:t>
      </w:r>
      <w:r w:rsidR="006C0520" w:rsidRPr="00E8396C">
        <w:rPr>
          <w:i/>
          <w:iCs/>
        </w:rPr>
        <w:t>Cointegrated Pairs/Baskets</w:t>
      </w:r>
      <w:r w:rsidR="006C0520">
        <w:rPr>
          <w:b/>
          <w:bCs/>
        </w:rPr>
        <w:t xml:space="preserve"> </w:t>
      </w:r>
      <w:r>
        <w:t xml:space="preserve">of </w:t>
      </w:r>
      <w:r w:rsidRPr="00070B12">
        <w:t xml:space="preserve">cryptocurrencies </w:t>
      </w:r>
      <w:r w:rsidRPr="00E8396C">
        <w:rPr>
          <w:i/>
          <w:iCs/>
        </w:rPr>
        <w:t>— Bitcoin (BTC), Ethereum (ETH), Tether (USDT), Dogecoin (DOGE), Shiba Inu (SHIB), and Litecoin (LTC)</w:t>
      </w:r>
      <w:r w:rsidRPr="00070B12">
        <w:t xml:space="preserve"> — over the past 12 months</w:t>
      </w:r>
      <w:r w:rsidR="00CA6813">
        <w:t xml:space="preserve"> with a hypothetical 7 basis points (bps) commission on all limit orders, and 20 basis points (b</w:t>
      </w:r>
      <w:r w:rsidR="00C604DA">
        <w:t>p</w:t>
      </w:r>
      <w:r w:rsidR="00CA6813">
        <w:t>s) on all market orders.</w:t>
      </w:r>
      <w:r w:rsidRPr="00070B12">
        <w:t xml:space="preserve"> </w:t>
      </w:r>
      <w:r w:rsidR="00614FA3" w:rsidRPr="00614FA3">
        <w:rPr>
          <w:rFonts w:ascii="Aptos" w:hAnsi="Aptos"/>
          <w:color w:val="000000"/>
        </w:rPr>
        <w:t xml:space="preserve">This analysis aims to determine if short-term price inefficiencies </w:t>
      </w:r>
      <w:r w:rsidR="00016E57" w:rsidRPr="00614FA3">
        <w:rPr>
          <w:rFonts w:ascii="Aptos" w:hAnsi="Aptos"/>
          <w:color w:val="000000"/>
        </w:rPr>
        <w:t>can</w:t>
      </w:r>
      <w:r w:rsidR="00614FA3" w:rsidRPr="00614FA3">
        <w:rPr>
          <w:rFonts w:ascii="Aptos" w:hAnsi="Aptos"/>
          <w:color w:val="000000"/>
        </w:rPr>
        <w:t xml:space="preserve"> consistently profit</w:t>
      </w:r>
      <w:r w:rsidR="00016E57">
        <w:rPr>
          <w:rFonts w:ascii="Aptos" w:hAnsi="Aptos"/>
          <w:color w:val="000000"/>
        </w:rPr>
        <w:t xml:space="preserve"> </w:t>
      </w:r>
      <w:r w:rsidR="00614FA3" w:rsidRPr="00614FA3">
        <w:rPr>
          <w:rFonts w:ascii="Aptos" w:hAnsi="Aptos"/>
          <w:color w:val="000000"/>
        </w:rPr>
        <w:t>from using momentum and reversal strategies, factoring in execution costs.</w:t>
      </w:r>
    </w:p>
    <w:p w14:paraId="2AD326A3" w14:textId="244C33F7" w:rsidR="00070B12" w:rsidRPr="00070B12" w:rsidRDefault="00C84A48" w:rsidP="00070B12">
      <w:pPr>
        <w:rPr>
          <w:b/>
          <w:bCs/>
        </w:rPr>
      </w:pPr>
      <w:r>
        <w:rPr>
          <w:b/>
          <w:bCs/>
        </w:rPr>
        <w:t>Approach</w:t>
      </w:r>
    </w:p>
    <w:p w14:paraId="017E12E3" w14:textId="780E864B" w:rsidR="00070B12" w:rsidRPr="00C84A48" w:rsidRDefault="00070B12" w:rsidP="00070B12">
      <w:r w:rsidRPr="00C84A48">
        <w:t>Get Historical Data</w:t>
      </w:r>
    </w:p>
    <w:p w14:paraId="15E451A2" w14:textId="77777777" w:rsidR="0006797E" w:rsidRDefault="00070B12" w:rsidP="0006797E">
      <w:pPr>
        <w:numPr>
          <w:ilvl w:val="0"/>
          <w:numId w:val="1"/>
        </w:numPr>
      </w:pPr>
      <w:r w:rsidRPr="00070B12">
        <w:t xml:space="preserve">Source: </w:t>
      </w:r>
      <w:r w:rsidR="002D39EA">
        <w:t>CoinGecko</w:t>
      </w:r>
    </w:p>
    <w:p w14:paraId="5CA72F82" w14:textId="20D7E7CC" w:rsidR="00070B12" w:rsidRPr="00070B12" w:rsidRDefault="002D39EA" w:rsidP="00B05A86">
      <w:pPr>
        <w:ind w:left="720"/>
      </w:pPr>
      <w:r>
        <w:t xml:space="preserve"> </w:t>
      </w:r>
      <w:r w:rsidR="00070B12" w:rsidRPr="00070B12">
        <w:t xml:space="preserve">Daily OHLCV (Open, High, Low, Close, Volume) data retrieved from major </w:t>
      </w:r>
      <w:r w:rsidR="003A35C0">
        <w:t xml:space="preserve">crypto </w:t>
      </w:r>
      <w:r w:rsidR="00070B12" w:rsidRPr="00070B12">
        <w:t>exchanges.</w:t>
      </w:r>
    </w:p>
    <w:p w14:paraId="14D66C0A" w14:textId="77777777" w:rsidR="00070B12" w:rsidRPr="00070B12" w:rsidRDefault="00070B12" w:rsidP="00070B12">
      <w:pPr>
        <w:numPr>
          <w:ilvl w:val="0"/>
          <w:numId w:val="1"/>
        </w:numPr>
      </w:pPr>
      <w:r w:rsidRPr="00070B12">
        <w:t>Interval: 1 year (daily frequency).</w:t>
      </w:r>
    </w:p>
    <w:p w14:paraId="00FB8A76" w14:textId="0D9A4874" w:rsidR="00070B12" w:rsidRPr="00070B12" w:rsidRDefault="00DD1A76" w:rsidP="00070B12">
      <w:pPr>
        <w:numPr>
          <w:ilvl w:val="0"/>
          <w:numId w:val="1"/>
        </w:numPr>
      </w:pPr>
      <w:r>
        <w:t xml:space="preserve">Crypto Asset </w:t>
      </w:r>
      <w:r w:rsidR="00070B12" w:rsidRPr="00070B12">
        <w:t>Pairs analyzed:</w:t>
      </w:r>
    </w:p>
    <w:p w14:paraId="4CFB87A4" w14:textId="77777777" w:rsidR="00070B12" w:rsidRPr="00070B12" w:rsidRDefault="00070B12" w:rsidP="00070B12">
      <w:pPr>
        <w:numPr>
          <w:ilvl w:val="1"/>
          <w:numId w:val="1"/>
        </w:numPr>
      </w:pPr>
      <w:r w:rsidRPr="00070B12">
        <w:t>BTC/ETH</w:t>
      </w:r>
    </w:p>
    <w:p w14:paraId="688F6FF3" w14:textId="77777777" w:rsidR="00070B12" w:rsidRPr="00070B12" w:rsidRDefault="00070B12" w:rsidP="00070B12">
      <w:pPr>
        <w:numPr>
          <w:ilvl w:val="1"/>
          <w:numId w:val="1"/>
        </w:numPr>
      </w:pPr>
      <w:r w:rsidRPr="00070B12">
        <w:t>USDT/DOGE</w:t>
      </w:r>
    </w:p>
    <w:p w14:paraId="61C6AC9E" w14:textId="77777777" w:rsidR="00070B12" w:rsidRPr="00070B12" w:rsidRDefault="00070B12" w:rsidP="00070B12">
      <w:pPr>
        <w:numPr>
          <w:ilvl w:val="1"/>
          <w:numId w:val="1"/>
        </w:numPr>
      </w:pPr>
      <w:r w:rsidRPr="00070B12">
        <w:t>SHIB/LTC</w:t>
      </w:r>
    </w:p>
    <w:p w14:paraId="1DD92675" w14:textId="2DE08664" w:rsidR="00070B12" w:rsidRPr="00C84A48" w:rsidRDefault="00070B12" w:rsidP="00070B12">
      <w:r w:rsidRPr="00C84A48">
        <w:t>Perform Strategies 2 Specific Arbitrage Strategies</w:t>
      </w:r>
    </w:p>
    <w:p w14:paraId="2EA5100D" w14:textId="77777777" w:rsidR="00070B12" w:rsidRPr="00070B12" w:rsidRDefault="00070B12" w:rsidP="00070B12">
      <w:r w:rsidRPr="00070B12">
        <w:t xml:space="preserve">Two complementary strategies </w:t>
      </w:r>
      <w:proofErr w:type="gramStart"/>
      <w:r w:rsidRPr="00070B12">
        <w:t>were examined</w:t>
      </w:r>
      <w:proofErr w:type="gramEnd"/>
      <w:r w:rsidRPr="00070B12">
        <w:t>:</w:t>
      </w:r>
    </w:p>
    <w:p w14:paraId="0D658962" w14:textId="77777777" w:rsidR="00070B12" w:rsidRPr="00C84A48" w:rsidRDefault="00070B12" w:rsidP="00070B12">
      <w:pPr>
        <w:numPr>
          <w:ilvl w:val="0"/>
          <w:numId w:val="2"/>
        </w:numPr>
      </w:pPr>
      <w:r w:rsidRPr="00C84A48">
        <w:t>Momentum Arbitrage</w:t>
      </w:r>
    </w:p>
    <w:p w14:paraId="0B543318" w14:textId="47B45D13" w:rsidR="00070B12" w:rsidRPr="00070B12" w:rsidRDefault="00DB0B34" w:rsidP="00070B12">
      <w:pPr>
        <w:numPr>
          <w:ilvl w:val="1"/>
          <w:numId w:val="2"/>
        </w:numPr>
      </w:pPr>
      <w:r>
        <w:t>S</w:t>
      </w:r>
      <w:r w:rsidR="00070B12" w:rsidRPr="00070B12">
        <w:t>ignal based on Rate-of-Change (ROC) over 20, 50, and 100-day windows.</w:t>
      </w:r>
    </w:p>
    <w:p w14:paraId="3838E5ED" w14:textId="77777777" w:rsidR="00070B12" w:rsidRPr="00070B12" w:rsidRDefault="00070B12" w:rsidP="00070B12">
      <w:pPr>
        <w:numPr>
          <w:ilvl w:val="1"/>
          <w:numId w:val="2"/>
        </w:numPr>
      </w:pPr>
      <w:r w:rsidRPr="00070B12">
        <w:t>Long when ROC &gt; threshold; flat or short when ROC &lt; threshold.</w:t>
      </w:r>
    </w:p>
    <w:p w14:paraId="79D99680" w14:textId="77777777" w:rsidR="00070B12" w:rsidRPr="00070B12" w:rsidRDefault="00070B12" w:rsidP="00070B12">
      <w:pPr>
        <w:numPr>
          <w:ilvl w:val="1"/>
          <w:numId w:val="2"/>
        </w:numPr>
      </w:pPr>
      <w:r w:rsidRPr="00070B12">
        <w:t>Focus: capturing continuation of price trends.</w:t>
      </w:r>
    </w:p>
    <w:p w14:paraId="2B6FB1CD" w14:textId="77777777" w:rsidR="00070B12" w:rsidRPr="00C84A48" w:rsidRDefault="00070B12" w:rsidP="00070B12">
      <w:pPr>
        <w:numPr>
          <w:ilvl w:val="0"/>
          <w:numId w:val="2"/>
        </w:numPr>
      </w:pPr>
      <w:r w:rsidRPr="00C84A48">
        <w:t>Reversal Arbitrage</w:t>
      </w:r>
    </w:p>
    <w:p w14:paraId="7704BE57" w14:textId="5289686F" w:rsidR="00070B12" w:rsidRPr="00070B12" w:rsidRDefault="00070B12" w:rsidP="00070B12">
      <w:pPr>
        <w:numPr>
          <w:ilvl w:val="1"/>
          <w:numId w:val="2"/>
        </w:numPr>
      </w:pPr>
      <w:r w:rsidRPr="00070B12">
        <w:t>Signal based on z-score</w:t>
      </w:r>
      <w:r w:rsidR="00703EE3">
        <w:t xml:space="preserve"> (</w:t>
      </w:r>
      <w:r w:rsidR="00BB10C0">
        <w:t>standard deviation)</w:t>
      </w:r>
      <w:r w:rsidRPr="00070B12">
        <w:t xml:space="preserve"> of rolling returns.</w:t>
      </w:r>
    </w:p>
    <w:p w14:paraId="0C070AA4" w14:textId="2CA11C02" w:rsidR="00070B12" w:rsidRPr="00070B12" w:rsidRDefault="008C034A" w:rsidP="00070B12">
      <w:pPr>
        <w:numPr>
          <w:ilvl w:val="1"/>
          <w:numId w:val="2"/>
        </w:numPr>
      </w:pPr>
      <w:r>
        <w:t>L</w:t>
      </w:r>
      <w:r w:rsidR="00070B12" w:rsidRPr="00070B12">
        <w:t>ong when z-score &lt; –2, short when z-score &gt; +2.</w:t>
      </w:r>
    </w:p>
    <w:p w14:paraId="052FF2F3" w14:textId="77918177" w:rsidR="00070B12" w:rsidRPr="00070B12" w:rsidRDefault="00070B12" w:rsidP="00070B12">
      <w:pPr>
        <w:numPr>
          <w:ilvl w:val="1"/>
          <w:numId w:val="2"/>
        </w:numPr>
      </w:pPr>
      <w:r w:rsidRPr="00070B12">
        <w:lastRenderedPageBreak/>
        <w:t xml:space="preserve">Focus: capturing mean reversion around short-term </w:t>
      </w:r>
      <w:r w:rsidR="008F608A">
        <w:t>price inefficiencies.</w:t>
      </w:r>
    </w:p>
    <w:p w14:paraId="1B87FEB0" w14:textId="0BDFCB85" w:rsidR="00070B12" w:rsidRPr="00B97976" w:rsidRDefault="008928C6" w:rsidP="00070B12">
      <w:r w:rsidRPr="00B97976">
        <w:t xml:space="preserve">Perform </w:t>
      </w:r>
      <w:r w:rsidR="00070B12" w:rsidRPr="00B97976">
        <w:t xml:space="preserve">Execution &amp; Slippage </w:t>
      </w:r>
      <w:r w:rsidRPr="00B97976">
        <w:t>with assigned basis points</w:t>
      </w:r>
    </w:p>
    <w:p w14:paraId="4B42786F" w14:textId="77777777" w:rsidR="00070B12" w:rsidRPr="009C4BDA" w:rsidRDefault="00070B12" w:rsidP="009C4BDA">
      <w:pPr>
        <w:numPr>
          <w:ilvl w:val="0"/>
          <w:numId w:val="15"/>
        </w:numPr>
      </w:pPr>
      <w:r w:rsidRPr="009C4BDA">
        <w:t>Market Orders: 20 bps average slippage.</w:t>
      </w:r>
    </w:p>
    <w:p w14:paraId="501313A3" w14:textId="77777777" w:rsidR="00070B12" w:rsidRPr="009C4BDA" w:rsidRDefault="00070B12" w:rsidP="009C4BDA">
      <w:pPr>
        <w:numPr>
          <w:ilvl w:val="0"/>
          <w:numId w:val="15"/>
        </w:numPr>
      </w:pPr>
      <w:r w:rsidRPr="009C4BDA">
        <w:t>Limit Orders: 7 bps execution cost.</w:t>
      </w:r>
    </w:p>
    <w:p w14:paraId="06E541D7" w14:textId="77777777" w:rsidR="00070B12" w:rsidRPr="009C4BDA" w:rsidRDefault="00070B12" w:rsidP="009C4BDA">
      <w:pPr>
        <w:numPr>
          <w:ilvl w:val="0"/>
          <w:numId w:val="15"/>
        </w:numPr>
      </w:pPr>
      <w:r w:rsidRPr="009C4BDA">
        <w:t>Transaction costs applied at every position change.</w:t>
      </w:r>
    </w:p>
    <w:p w14:paraId="241B7E9E" w14:textId="7DE290C8" w:rsidR="00070B12" w:rsidRPr="00B97976" w:rsidRDefault="00B97976" w:rsidP="00070B12">
      <w:r>
        <w:t xml:space="preserve">Perform </w:t>
      </w:r>
      <w:r w:rsidR="008928C6" w:rsidRPr="00B97976">
        <w:t xml:space="preserve">Backtesting </w:t>
      </w:r>
      <w:r>
        <w:t>of Arbitrage Strategies</w:t>
      </w:r>
    </w:p>
    <w:p w14:paraId="4DD53F00" w14:textId="77777777" w:rsidR="00070B12" w:rsidRPr="009C4BDA" w:rsidRDefault="00070B12" w:rsidP="009C4BDA">
      <w:pPr>
        <w:numPr>
          <w:ilvl w:val="0"/>
          <w:numId w:val="14"/>
        </w:numPr>
      </w:pPr>
      <w:r w:rsidRPr="009C4BDA">
        <w:t>Equal-weighted across tested assets.</w:t>
      </w:r>
    </w:p>
    <w:p w14:paraId="08DEC768" w14:textId="77777777" w:rsidR="00070B12" w:rsidRPr="009C4BDA" w:rsidRDefault="00070B12" w:rsidP="009C4BDA">
      <w:pPr>
        <w:numPr>
          <w:ilvl w:val="0"/>
          <w:numId w:val="14"/>
        </w:numPr>
      </w:pPr>
      <w:r w:rsidRPr="009C4BDA">
        <w:t>Rebalanced daily based on signal changes.</w:t>
      </w:r>
    </w:p>
    <w:p w14:paraId="6594A38A" w14:textId="77777777" w:rsidR="00070B12" w:rsidRPr="009C4BDA" w:rsidRDefault="00070B12" w:rsidP="009C4BDA">
      <w:pPr>
        <w:numPr>
          <w:ilvl w:val="0"/>
          <w:numId w:val="14"/>
        </w:numPr>
      </w:pPr>
      <w:r w:rsidRPr="009C4BDA">
        <w:t>Performance evaluated both at single-asset level and portfolio level.</w:t>
      </w:r>
    </w:p>
    <w:p w14:paraId="1252DF45" w14:textId="6485504A" w:rsidR="00070B12" w:rsidRPr="00070B12" w:rsidRDefault="00070B12" w:rsidP="00070B12">
      <w:pPr>
        <w:rPr>
          <w:b/>
          <w:bCs/>
        </w:rPr>
      </w:pPr>
      <w:r>
        <w:rPr>
          <w:b/>
          <w:bCs/>
        </w:rPr>
        <w:t>Performance Evaluation</w:t>
      </w:r>
    </w:p>
    <w:p w14:paraId="104C1065" w14:textId="0EF5A6E4" w:rsidR="00070B12" w:rsidRPr="00B97976" w:rsidRDefault="00070B12" w:rsidP="00070B12">
      <w:r w:rsidRPr="00B97976">
        <w:t>Performance Metrics</w:t>
      </w:r>
    </w:p>
    <w:p w14:paraId="511D9A41" w14:textId="77777777" w:rsidR="00070B12" w:rsidRPr="00070B12" w:rsidRDefault="00070B12" w:rsidP="00070B12">
      <w:r w:rsidRPr="00070B12">
        <w:t>For each asset and strategy, we report:</w:t>
      </w:r>
    </w:p>
    <w:p w14:paraId="77B385DA" w14:textId="77777777" w:rsidR="00070B12" w:rsidRPr="009C4BDA" w:rsidRDefault="00070B12" w:rsidP="009C4BDA">
      <w:pPr>
        <w:numPr>
          <w:ilvl w:val="0"/>
          <w:numId w:val="13"/>
        </w:numPr>
      </w:pPr>
      <w:r w:rsidRPr="009C4BDA">
        <w:t>Annualized Return (%)</w:t>
      </w:r>
    </w:p>
    <w:p w14:paraId="3D22FF05" w14:textId="77777777" w:rsidR="00070B12" w:rsidRPr="009C4BDA" w:rsidRDefault="00070B12" w:rsidP="009C4BDA">
      <w:pPr>
        <w:numPr>
          <w:ilvl w:val="0"/>
          <w:numId w:val="13"/>
        </w:numPr>
      </w:pPr>
      <w:r w:rsidRPr="009C4BDA">
        <w:t>Annualized Volatility (%)</w:t>
      </w:r>
    </w:p>
    <w:p w14:paraId="029E425B" w14:textId="77777777" w:rsidR="00070B12" w:rsidRPr="009C4BDA" w:rsidRDefault="00070B12" w:rsidP="009C4BDA">
      <w:pPr>
        <w:numPr>
          <w:ilvl w:val="0"/>
          <w:numId w:val="13"/>
        </w:numPr>
      </w:pPr>
      <w:r w:rsidRPr="009C4BDA">
        <w:t>Sharpe Ratio</w:t>
      </w:r>
    </w:p>
    <w:p w14:paraId="0C6440E1" w14:textId="77777777" w:rsidR="00070B12" w:rsidRPr="009C4BDA" w:rsidRDefault="00070B12" w:rsidP="009C4BDA">
      <w:pPr>
        <w:numPr>
          <w:ilvl w:val="0"/>
          <w:numId w:val="13"/>
        </w:numPr>
      </w:pPr>
      <w:r w:rsidRPr="009C4BDA">
        <w:t>Hit Rate (%) (proportion of profitable trades)</w:t>
      </w:r>
    </w:p>
    <w:p w14:paraId="7D19A478" w14:textId="77777777" w:rsidR="00070B12" w:rsidRPr="009C4BDA" w:rsidRDefault="00070B12" w:rsidP="009C4BDA">
      <w:pPr>
        <w:numPr>
          <w:ilvl w:val="0"/>
          <w:numId w:val="13"/>
        </w:numPr>
      </w:pPr>
      <w:r w:rsidRPr="009C4BDA">
        <w:t>Max Drawdown (%)</w:t>
      </w:r>
    </w:p>
    <w:p w14:paraId="5BC79149" w14:textId="77777777" w:rsidR="00070B12" w:rsidRPr="009C4BDA" w:rsidRDefault="00070B12" w:rsidP="009C4BDA">
      <w:pPr>
        <w:numPr>
          <w:ilvl w:val="0"/>
          <w:numId w:val="13"/>
        </w:numPr>
      </w:pPr>
      <w:r w:rsidRPr="009C4BDA">
        <w:t>Average Holding Period</w:t>
      </w:r>
    </w:p>
    <w:p w14:paraId="121D7843" w14:textId="77777777" w:rsidR="00070B12" w:rsidRPr="009C4BDA" w:rsidRDefault="00070B12" w:rsidP="009C4BDA">
      <w:pPr>
        <w:numPr>
          <w:ilvl w:val="0"/>
          <w:numId w:val="13"/>
        </w:numPr>
      </w:pPr>
      <w:r w:rsidRPr="009C4BDA">
        <w:t>Execution Costs (aggregate slippage/commissions)</w:t>
      </w:r>
    </w:p>
    <w:p w14:paraId="550726CC" w14:textId="4F908DAF" w:rsidR="00070B12" w:rsidRPr="009C4BDA" w:rsidRDefault="00070B12" w:rsidP="009C4BDA">
      <w:pPr>
        <w:numPr>
          <w:ilvl w:val="0"/>
          <w:numId w:val="13"/>
        </w:numPr>
      </w:pPr>
      <w:r w:rsidRPr="009C4BDA">
        <w:t xml:space="preserve">Momentum strategies tended to outperform reversal strategies in BTC and ETH, reflecting persistent </w:t>
      </w:r>
      <w:r w:rsidR="00FC6F9E">
        <w:t>trends based on</w:t>
      </w:r>
      <w:r w:rsidR="00336C27">
        <w:t xml:space="preserve"> supply /demand </w:t>
      </w:r>
      <w:r w:rsidRPr="009C4BDA">
        <w:t>behavior</w:t>
      </w:r>
      <w:r w:rsidR="007B3272">
        <w:t xml:space="preserve"> contraints</w:t>
      </w:r>
      <w:r w:rsidRPr="009C4BDA">
        <w:t>.</w:t>
      </w:r>
    </w:p>
    <w:p w14:paraId="0E6832D5" w14:textId="77777777" w:rsidR="00070B12" w:rsidRPr="009C4BDA" w:rsidRDefault="00070B12" w:rsidP="009C4BDA">
      <w:pPr>
        <w:numPr>
          <w:ilvl w:val="0"/>
          <w:numId w:val="13"/>
        </w:numPr>
      </w:pPr>
      <w:r w:rsidRPr="009C4BDA">
        <w:t>Reversal strategies were more effective in DOGE and SHIB, where mean-reverting “noise” dominated.</w:t>
      </w:r>
    </w:p>
    <w:p w14:paraId="4E72DD3C" w14:textId="77777777" w:rsidR="00070B12" w:rsidRPr="009C4BDA" w:rsidRDefault="00070B12" w:rsidP="009C4BDA">
      <w:pPr>
        <w:numPr>
          <w:ilvl w:val="0"/>
          <w:numId w:val="13"/>
        </w:numPr>
      </w:pPr>
      <w:r w:rsidRPr="009C4BDA">
        <w:t>Limit order execution significantly improved net profitability by reducing costs, especially in high-turnover strategies.</w:t>
      </w:r>
    </w:p>
    <w:p w14:paraId="279E280E" w14:textId="077895A1" w:rsidR="00070B12" w:rsidRPr="00B97976" w:rsidRDefault="00590B69" w:rsidP="00070B12">
      <w:r>
        <w:t xml:space="preserve">  </w:t>
      </w:r>
      <w:r w:rsidR="00070B12" w:rsidRPr="00B97976">
        <w:t>Visuals</w:t>
      </w:r>
    </w:p>
    <w:p w14:paraId="79737215" w14:textId="74C54309" w:rsidR="00070B12" w:rsidRPr="009C4BDA" w:rsidRDefault="00A17DBB" w:rsidP="009C4BDA">
      <w:pPr>
        <w:numPr>
          <w:ilvl w:val="0"/>
          <w:numId w:val="11"/>
        </w:numPr>
      </w:pPr>
      <w:r>
        <w:t xml:space="preserve">Line </w:t>
      </w:r>
      <w:r w:rsidR="00153756">
        <w:t>C</w:t>
      </w:r>
      <w:r w:rsidR="00070B12" w:rsidRPr="009C4BDA">
        <w:t>harts for each asset (1-year).</w:t>
      </w:r>
    </w:p>
    <w:p w14:paraId="5CEC7707" w14:textId="77777777" w:rsidR="00070B12" w:rsidRPr="009C4BDA" w:rsidRDefault="00070B12" w:rsidP="009C4BDA">
      <w:pPr>
        <w:numPr>
          <w:ilvl w:val="0"/>
          <w:numId w:val="11"/>
        </w:numPr>
      </w:pPr>
      <w:r w:rsidRPr="009C4BDA">
        <w:lastRenderedPageBreak/>
        <w:t>Equity curve comparisons: Momentum vs Reversal, Market vs Limit orders.</w:t>
      </w:r>
    </w:p>
    <w:p w14:paraId="03987261" w14:textId="77777777" w:rsidR="00B82BD3" w:rsidRDefault="00070B12" w:rsidP="009C4BDA">
      <w:pPr>
        <w:numPr>
          <w:ilvl w:val="0"/>
          <w:numId w:val="11"/>
        </w:numPr>
      </w:pPr>
      <w:r w:rsidRPr="009C4BDA">
        <w:t>Bar charts of total returns across strategies</w:t>
      </w:r>
      <w:r w:rsidR="0095116C">
        <w:t xml:space="preserve"> </w:t>
      </w:r>
    </w:p>
    <w:p w14:paraId="769F3ADB" w14:textId="699B3DA2" w:rsidR="00070B12" w:rsidRPr="009C4BDA" w:rsidRDefault="0095116C" w:rsidP="009C4BDA">
      <w:pPr>
        <w:numPr>
          <w:ilvl w:val="0"/>
          <w:numId w:val="11"/>
        </w:numPr>
      </w:pPr>
      <w:r>
        <w:t>Heat Maps</w:t>
      </w:r>
      <w:r w:rsidR="00662646">
        <w:t xml:space="preserve"> of pricing</w:t>
      </w:r>
      <w:r w:rsidR="00525554">
        <w:t xml:space="preserve"> where </w:t>
      </w:r>
      <w:r w:rsidR="00525554" w:rsidRPr="00235EC8">
        <w:rPr>
          <w:highlight w:val="yellow"/>
        </w:rPr>
        <w:t>yellow</w:t>
      </w:r>
      <w:r w:rsidR="00525554">
        <w:t xml:space="preserve"> indicates moderate</w:t>
      </w:r>
      <w:r w:rsidR="0042067E">
        <w:t xml:space="preserve"> volatility</w:t>
      </w:r>
      <w:r w:rsidR="00525554">
        <w:t xml:space="preserve">, </w:t>
      </w:r>
      <w:r w:rsidR="00525554" w:rsidRPr="007F7F56">
        <w:rPr>
          <w:b/>
          <w:bCs/>
          <w:color w:val="0C3512" w:themeColor="accent3" w:themeShade="80"/>
        </w:rPr>
        <w:t>blue</w:t>
      </w:r>
      <w:r w:rsidR="00525554" w:rsidRPr="007F7F56">
        <w:rPr>
          <w:b/>
          <w:bCs/>
        </w:rPr>
        <w:t xml:space="preserve"> </w:t>
      </w:r>
      <w:r w:rsidR="00525554">
        <w:t xml:space="preserve">indicates </w:t>
      </w:r>
      <w:r w:rsidR="0042067E">
        <w:t xml:space="preserve">low volatility, and </w:t>
      </w:r>
      <w:r w:rsidR="0042067E" w:rsidRPr="007F7F56">
        <w:rPr>
          <w:b/>
          <w:bCs/>
          <w:color w:val="3A7C22" w:themeColor="accent6" w:themeShade="BF"/>
        </w:rPr>
        <w:t>green</w:t>
      </w:r>
      <w:r w:rsidR="0042067E">
        <w:t xml:space="preserve"> indicates high volatility.</w:t>
      </w:r>
    </w:p>
    <w:p w14:paraId="55A1D24D" w14:textId="3B9487A8" w:rsidR="00070B12" w:rsidRPr="00070B12" w:rsidRDefault="00070B12" w:rsidP="009C4BDA">
      <w:pPr>
        <w:numPr>
          <w:ilvl w:val="0"/>
          <w:numId w:val="11"/>
        </w:numPr>
      </w:pPr>
      <w:r w:rsidRPr="009C4BDA">
        <w:t>Drawdown plots</w:t>
      </w:r>
      <w:r w:rsidRPr="00070B12">
        <w:t xml:space="preserve"> highlighting periods of </w:t>
      </w:r>
      <w:r w:rsidR="004B4ADF">
        <w:t>extreme volatility</w:t>
      </w:r>
      <w:r w:rsidRPr="00070B12">
        <w:t>.</w:t>
      </w:r>
    </w:p>
    <w:p w14:paraId="3C0DBFCC" w14:textId="5303B43E" w:rsidR="00070B12" w:rsidRPr="00590B69" w:rsidRDefault="00070B12" w:rsidP="00070B12">
      <w:r w:rsidRPr="00590B69">
        <w:t>Findings</w:t>
      </w:r>
    </w:p>
    <w:p w14:paraId="7683B731" w14:textId="77777777" w:rsidR="00070B12" w:rsidRPr="00070B12" w:rsidRDefault="00070B12" w:rsidP="00070B12">
      <w:r w:rsidRPr="00070B12">
        <w:t>The analysis confirms that crypto markets exhibit both momentum and mean-reversion dynamics depending on the coin and time horizon:</w:t>
      </w:r>
    </w:p>
    <w:p w14:paraId="3617DAF2" w14:textId="2BE3A474" w:rsidR="00070B12" w:rsidRPr="00070B12" w:rsidRDefault="002646B3" w:rsidP="009C4BDA">
      <w:pPr>
        <w:pStyle w:val="ListParagraph"/>
        <w:numPr>
          <w:ilvl w:val="0"/>
          <w:numId w:val="12"/>
        </w:numPr>
      </w:pPr>
      <w:r>
        <w:t>A</w:t>
      </w:r>
      <w:r w:rsidR="00070B12" w:rsidRPr="00070B12">
        <w:t>sset</w:t>
      </w:r>
      <w:r>
        <w:t xml:space="preserve"> Coin Pairs</w:t>
      </w:r>
      <w:r w:rsidR="00070B12" w:rsidRPr="00070B12">
        <w:t xml:space="preserve"> (BTC, ETH) </w:t>
      </w:r>
      <w:r w:rsidR="00070B12" w:rsidRPr="00CE05AC">
        <w:rPr>
          <w:u w:val="single"/>
        </w:rPr>
        <w:t>favor momentum</w:t>
      </w:r>
      <w:r w:rsidR="00070B12" w:rsidRPr="00070B12">
        <w:t>.</w:t>
      </w:r>
    </w:p>
    <w:p w14:paraId="4C375167" w14:textId="3E825C81" w:rsidR="00070B12" w:rsidRPr="00070B12" w:rsidRDefault="00A64F58" w:rsidP="009C4BDA">
      <w:pPr>
        <w:pStyle w:val="ListParagraph"/>
        <w:numPr>
          <w:ilvl w:val="0"/>
          <w:numId w:val="12"/>
        </w:numPr>
      </w:pPr>
      <w:r>
        <w:t>Asset Coin Pairs</w:t>
      </w:r>
      <w:r w:rsidR="00070B12" w:rsidRPr="00070B12">
        <w:t xml:space="preserve"> (DOGE, SHIB) </w:t>
      </w:r>
      <w:r w:rsidR="00070B12" w:rsidRPr="00CE05AC">
        <w:rPr>
          <w:u w:val="single"/>
        </w:rPr>
        <w:t>exhibit stronger reversals</w:t>
      </w:r>
      <w:r w:rsidR="00070B12" w:rsidRPr="00070B12">
        <w:t>.</w:t>
      </w:r>
    </w:p>
    <w:p w14:paraId="013AADF2" w14:textId="55BC45C2" w:rsidR="00070B12" w:rsidRPr="00070B12" w:rsidRDefault="00070B12" w:rsidP="009C4BDA">
      <w:pPr>
        <w:pStyle w:val="ListParagraph"/>
        <w:numPr>
          <w:ilvl w:val="0"/>
          <w:numId w:val="12"/>
        </w:numPr>
      </w:pPr>
      <w:r w:rsidRPr="00070B12">
        <w:t>Slippage assumptions materially impact net p</w:t>
      </w:r>
      <w:r w:rsidR="00A64F58">
        <w:t>rofits</w:t>
      </w:r>
      <w:r w:rsidRPr="00070B12">
        <w:t xml:space="preserve"> — execution strategy (limit vs market) can determine profitability.</w:t>
      </w:r>
    </w:p>
    <w:p w14:paraId="432FC201" w14:textId="3055D720" w:rsidR="00070B12" w:rsidRPr="00070B12" w:rsidRDefault="00070B12" w:rsidP="009C4BDA">
      <w:pPr>
        <w:pStyle w:val="ListParagraph"/>
        <w:numPr>
          <w:ilvl w:val="0"/>
          <w:numId w:val="12"/>
        </w:numPr>
      </w:pPr>
      <w:r w:rsidRPr="00070B12">
        <w:t xml:space="preserve">Arbitrage across </w:t>
      </w:r>
      <w:r w:rsidR="00F807F1">
        <w:t>Coin P</w:t>
      </w:r>
      <w:r w:rsidRPr="009C4BDA">
        <w:t>airs</w:t>
      </w:r>
      <w:r w:rsidRPr="00070B12">
        <w:t xml:space="preserve"> (e.g., BTC/ETH) </w:t>
      </w:r>
      <w:r w:rsidR="00F807F1">
        <w:t>illustrate</w:t>
      </w:r>
      <w:r w:rsidRPr="00070B12">
        <w:t xml:space="preserve"> </w:t>
      </w:r>
      <w:r w:rsidR="006E39AD">
        <w:t>expectation</w:t>
      </w:r>
      <w:r w:rsidR="005653E1">
        <w:t>s</w:t>
      </w:r>
      <w:r w:rsidR="006E39AD">
        <w:t xml:space="preserve"> of future returns</w:t>
      </w:r>
      <w:r w:rsidRPr="00070B12">
        <w:t xml:space="preserve">, though opportunities are less frequent compared to single-asset </w:t>
      </w:r>
      <w:r w:rsidR="004B2D8D">
        <w:t>coins</w:t>
      </w:r>
      <w:r w:rsidRPr="00070B12">
        <w:t>.</w:t>
      </w:r>
    </w:p>
    <w:p w14:paraId="1A3276D6" w14:textId="545C6767" w:rsidR="00070B12" w:rsidRPr="00070B12" w:rsidRDefault="00070B12" w:rsidP="00070B12">
      <w:pPr>
        <w:rPr>
          <w:b/>
          <w:bCs/>
        </w:rPr>
      </w:pPr>
      <w:r w:rsidRPr="00070B12">
        <w:rPr>
          <w:b/>
          <w:bCs/>
        </w:rPr>
        <w:t>Conclusion</w:t>
      </w:r>
    </w:p>
    <w:p w14:paraId="1D059FD9" w14:textId="0FD7458B" w:rsidR="00070B12" w:rsidRPr="00070B12" w:rsidRDefault="00755266" w:rsidP="00711F46">
      <w:r w:rsidRPr="00755266">
        <w:rPr>
          <w:rFonts w:ascii="Aptos" w:hAnsi="Aptos"/>
          <w:color w:val="000000"/>
        </w:rPr>
        <w:t xml:space="preserve">While hypothetical arbitrage in cryptocurrency markets can </w:t>
      </w:r>
      <w:proofErr w:type="gramStart"/>
      <w:r w:rsidRPr="00755266">
        <w:rPr>
          <w:rFonts w:ascii="Aptos" w:hAnsi="Aptos"/>
          <w:color w:val="000000"/>
        </w:rPr>
        <w:t>be constrained</w:t>
      </w:r>
      <w:proofErr w:type="gramEnd"/>
      <w:r w:rsidRPr="00755266">
        <w:rPr>
          <w:rFonts w:ascii="Aptos" w:hAnsi="Aptos"/>
          <w:color w:val="000000"/>
        </w:rPr>
        <w:t xml:space="preserve"> by transaction costs and latency</w:t>
      </w:r>
      <w:r w:rsidR="0004143E">
        <w:rPr>
          <w:rFonts w:ascii="Aptos" w:hAnsi="Aptos"/>
          <w:color w:val="000000"/>
        </w:rPr>
        <w:t xml:space="preserve"> (actual </w:t>
      </w:r>
      <w:r w:rsidR="00B848CE">
        <w:rPr>
          <w:rFonts w:ascii="Aptos" w:hAnsi="Aptos"/>
          <w:color w:val="000000"/>
        </w:rPr>
        <w:t xml:space="preserve">executed </w:t>
      </w:r>
      <w:r w:rsidR="0004143E">
        <w:rPr>
          <w:rFonts w:ascii="Aptos" w:hAnsi="Aptos"/>
          <w:color w:val="000000"/>
        </w:rPr>
        <w:t>vs forecasted price)</w:t>
      </w:r>
      <w:r w:rsidRPr="00755266">
        <w:rPr>
          <w:rFonts w:ascii="Aptos" w:hAnsi="Aptos"/>
          <w:color w:val="000000"/>
        </w:rPr>
        <w:t>, systematic strategies that utilize momentum and reversal patterns alongside weighting methods have the potential to generate risk-adjusted returns when carefully executed.</w:t>
      </w:r>
      <w:r>
        <w:rPr>
          <w:rFonts w:ascii="Aptos" w:hAnsi="Aptos"/>
          <w:color w:val="000000"/>
        </w:rPr>
        <w:t xml:space="preserve"> </w:t>
      </w:r>
      <w:r w:rsidR="00335187">
        <w:rPr>
          <w:rFonts w:ascii="Aptos" w:hAnsi="Aptos"/>
          <w:color w:val="000000"/>
        </w:rPr>
        <w:t>[</w:t>
      </w:r>
      <w:r w:rsidR="00B9442E">
        <w:t xml:space="preserve">See </w:t>
      </w:r>
      <w:r w:rsidR="0016719C">
        <w:t>Charts</w:t>
      </w:r>
      <w:r w:rsidR="00335187">
        <w:t>]</w:t>
      </w:r>
      <w:r w:rsidR="0016719C">
        <w:t xml:space="preserve"> </w:t>
      </w:r>
      <w:r w:rsidR="00B9442E">
        <w:t xml:space="preserve">Sharpe Ratio of </w:t>
      </w:r>
      <w:proofErr w:type="gramStart"/>
      <w:r w:rsidR="00B9442E">
        <w:t>1</w:t>
      </w:r>
      <w:proofErr w:type="gramEnd"/>
      <w:r w:rsidR="00B9442E">
        <w:t xml:space="preserve"> for the momentum strateg</w:t>
      </w:r>
      <w:r w:rsidR="0016719C">
        <w:t>y</w:t>
      </w:r>
      <w:r w:rsidR="00B9442E">
        <w:t xml:space="preserve"> </w:t>
      </w:r>
      <w:r w:rsidR="00AB230B">
        <w:t xml:space="preserve">for </w:t>
      </w:r>
      <w:proofErr w:type="gramStart"/>
      <w:r w:rsidR="00AB230B">
        <w:t>Bitcoin(</w:t>
      </w:r>
      <w:proofErr w:type="gramEnd"/>
      <w:r w:rsidR="00AB230B">
        <w:t>BTC)/Ethereum (</w:t>
      </w:r>
      <w:proofErr w:type="gramStart"/>
      <w:r w:rsidR="00AB230B">
        <w:t>ETC</w:t>
      </w:r>
      <w:proofErr w:type="gramEnd"/>
      <w:r w:rsidR="00AB230B">
        <w:t>) pairs</w:t>
      </w:r>
      <w:r w:rsidR="00432D08">
        <w:t>/baskets</w:t>
      </w:r>
      <w:r w:rsidR="00FA1EE7">
        <w:t xml:space="preserve"> </w:t>
      </w:r>
      <w:r w:rsidR="00B9442E">
        <w:t>and a</w:t>
      </w:r>
      <w:r w:rsidR="00A346DF">
        <w:t xml:space="preserve"> Sharpe Ratio</w:t>
      </w:r>
      <w:r w:rsidR="007312B6">
        <w:t xml:space="preserve"> of</w:t>
      </w:r>
      <w:r w:rsidR="00B9442E">
        <w:t xml:space="preserve"> </w:t>
      </w:r>
      <w:proofErr w:type="gramStart"/>
      <w:r w:rsidR="00B9442E">
        <w:t>2</w:t>
      </w:r>
      <w:proofErr w:type="gramEnd"/>
      <w:r w:rsidR="00B9442E">
        <w:t xml:space="preserve"> for the reversal strategy</w:t>
      </w:r>
      <w:r w:rsidR="00B81C4F">
        <w:t xml:space="preserve"> of pairs</w:t>
      </w:r>
      <w:r w:rsidR="001F57DB">
        <w:t xml:space="preserve">/baskets </w:t>
      </w:r>
      <w:proofErr w:type="gramStart"/>
      <w:r w:rsidR="00B81C4F">
        <w:t>Dogecoin(</w:t>
      </w:r>
      <w:proofErr w:type="gramEnd"/>
      <w:r w:rsidR="00B81C4F">
        <w:t xml:space="preserve">DOGE), </w:t>
      </w:r>
      <w:r w:rsidR="007312B6">
        <w:t xml:space="preserve">Tether (USDT), </w:t>
      </w:r>
      <w:r w:rsidR="00B81C4F">
        <w:t>Shib-Inu</w:t>
      </w:r>
      <w:r w:rsidR="00F036AD">
        <w:t xml:space="preserve"> (SHIB), and Litecoin (</w:t>
      </w:r>
      <w:r w:rsidR="00037127">
        <w:t>LTC)</w:t>
      </w:r>
      <w:r w:rsidR="00B9442E">
        <w:t xml:space="preserve">. </w:t>
      </w:r>
      <w:r w:rsidR="00FC1B93">
        <w:rPr>
          <w:rFonts w:ascii="Aptos" w:hAnsi="Aptos"/>
          <w:color w:val="000000"/>
        </w:rPr>
        <w:t>T</w:t>
      </w:r>
      <w:r w:rsidR="00711F46">
        <w:rPr>
          <w:rFonts w:ascii="Aptos" w:hAnsi="Aptos"/>
          <w:color w:val="000000"/>
        </w:rPr>
        <w:t xml:space="preserve">he </w:t>
      </w:r>
      <w:r w:rsidR="00711F46" w:rsidRPr="00711F46">
        <w:rPr>
          <w:rFonts w:ascii="Aptos" w:hAnsi="Aptos"/>
          <w:color w:val="000000"/>
        </w:rPr>
        <w:t xml:space="preserve">reversal strategy is the most profitable and least volatile option for these </w:t>
      </w:r>
      <w:r w:rsidR="00A27630">
        <w:rPr>
          <w:rFonts w:ascii="Aptos" w:hAnsi="Aptos"/>
          <w:color w:val="000000"/>
        </w:rPr>
        <w:t>short-</w:t>
      </w:r>
      <w:proofErr w:type="gramStart"/>
      <w:r w:rsidR="00A27630">
        <w:rPr>
          <w:rFonts w:ascii="Aptos" w:hAnsi="Aptos"/>
          <w:color w:val="000000"/>
        </w:rPr>
        <w:t>termed</w:t>
      </w:r>
      <w:proofErr w:type="gramEnd"/>
      <w:r w:rsidR="00A27630">
        <w:rPr>
          <w:rFonts w:ascii="Aptos" w:hAnsi="Aptos"/>
          <w:color w:val="000000"/>
        </w:rPr>
        <w:t xml:space="preserve"> </w:t>
      </w:r>
      <w:r w:rsidR="00102E51">
        <w:rPr>
          <w:rFonts w:ascii="Aptos" w:hAnsi="Aptos"/>
          <w:color w:val="000000"/>
        </w:rPr>
        <w:t xml:space="preserve">price </w:t>
      </w:r>
      <w:r w:rsidR="00102E51" w:rsidRPr="00711F46">
        <w:rPr>
          <w:rFonts w:ascii="Aptos" w:hAnsi="Aptos"/>
          <w:color w:val="000000"/>
        </w:rPr>
        <w:t>inefficiencies</w:t>
      </w:r>
      <w:r w:rsidR="00102E51">
        <w:rPr>
          <w:rFonts w:ascii="Aptos" w:hAnsi="Aptos"/>
          <w:color w:val="000000"/>
        </w:rPr>
        <w:t xml:space="preserve"> </w:t>
      </w:r>
      <w:r w:rsidR="001F57DB">
        <w:rPr>
          <w:rFonts w:ascii="Aptos" w:hAnsi="Aptos"/>
          <w:color w:val="000000"/>
        </w:rPr>
        <w:t xml:space="preserve">analyzed </w:t>
      </w:r>
      <w:r w:rsidR="00711F46" w:rsidRPr="00711F46">
        <w:rPr>
          <w:rFonts w:ascii="Aptos" w:hAnsi="Aptos"/>
          <w:color w:val="000000"/>
        </w:rPr>
        <w:t>cryptocurrencies.</w:t>
      </w:r>
      <w:r w:rsidR="00711F46">
        <w:rPr>
          <w:rFonts w:ascii="Aptos" w:hAnsi="Aptos"/>
          <w:color w:val="000000"/>
        </w:rPr>
        <w:t xml:space="preserve"> </w:t>
      </w:r>
      <w:r w:rsidR="005C5393">
        <w:t>However</w:t>
      </w:r>
      <w:r w:rsidR="00B201C8">
        <w:t xml:space="preserve">, </w:t>
      </w:r>
      <w:r w:rsidR="005C5393">
        <w:t xml:space="preserve">robustness more than likely will occur. To manage </w:t>
      </w:r>
      <w:r w:rsidR="0012606B">
        <w:t>apparent</w:t>
      </w:r>
      <w:r w:rsidR="005C5393">
        <w:t xml:space="preserve"> robustness the following </w:t>
      </w:r>
      <w:r w:rsidR="00FC1B93">
        <w:t xml:space="preserve">must </w:t>
      </w:r>
      <w:proofErr w:type="gramStart"/>
      <w:r w:rsidR="00FC1B93">
        <w:t>be</w:t>
      </w:r>
      <w:r w:rsidR="005C5393">
        <w:t xml:space="preserve"> done</w:t>
      </w:r>
      <w:proofErr w:type="gramEnd"/>
      <w:r w:rsidR="005C5393">
        <w:t xml:space="preserve"> on a consistent basis</w:t>
      </w:r>
      <w:r w:rsidR="00B201C8">
        <w:t xml:space="preserve"> </w:t>
      </w:r>
      <w:r w:rsidR="00124759">
        <w:t xml:space="preserve">in the future </w:t>
      </w:r>
      <w:r w:rsidR="00B201C8">
        <w:t xml:space="preserve">for the </w:t>
      </w:r>
      <w:r w:rsidR="00BE23A3">
        <w:t xml:space="preserve">selected </w:t>
      </w:r>
      <w:r w:rsidR="00B201C8">
        <w:t>pairs/basket</w:t>
      </w:r>
      <w:r w:rsidR="00C2305D">
        <w:t xml:space="preserve"> analyzed.</w:t>
      </w:r>
    </w:p>
    <w:p w14:paraId="7BD212D5" w14:textId="25E36C8F" w:rsidR="00070B12" w:rsidRPr="00070B12" w:rsidRDefault="00070B12" w:rsidP="00070B12">
      <w:pPr>
        <w:numPr>
          <w:ilvl w:val="0"/>
          <w:numId w:val="9"/>
        </w:numPr>
      </w:pPr>
      <w:r w:rsidRPr="00070B12">
        <w:t xml:space="preserve">Adaptive </w:t>
      </w:r>
      <w:r w:rsidR="009F4F49">
        <w:t xml:space="preserve">time periods </w:t>
      </w:r>
      <w:r w:rsidRPr="00070B12">
        <w:t>for signal generation.</w:t>
      </w:r>
    </w:p>
    <w:p w14:paraId="45296EC3" w14:textId="77777777" w:rsidR="00070B12" w:rsidRPr="00070B12" w:rsidRDefault="00070B12" w:rsidP="00070B12">
      <w:pPr>
        <w:numPr>
          <w:ilvl w:val="0"/>
          <w:numId w:val="9"/>
        </w:numPr>
      </w:pPr>
      <w:r w:rsidRPr="00070B12">
        <w:t>Cost-sensitive portfolio weighting.</w:t>
      </w:r>
    </w:p>
    <w:p w14:paraId="618B1291" w14:textId="69B7E7A8" w:rsidR="00070B12" w:rsidRDefault="00070B12" w:rsidP="00070B12">
      <w:pPr>
        <w:numPr>
          <w:ilvl w:val="0"/>
          <w:numId w:val="9"/>
        </w:numPr>
      </w:pPr>
      <w:r w:rsidRPr="00070B12">
        <w:t xml:space="preserve">Ongoing </w:t>
      </w:r>
      <w:r>
        <w:t xml:space="preserve">rebalancing and </w:t>
      </w:r>
      <w:r w:rsidRPr="00070B12">
        <w:t>monitoring of liquidity conditions</w:t>
      </w:r>
      <w:r w:rsidR="005C5393">
        <w:t xml:space="preserve"> for each coin analyzed in this analysis.</w:t>
      </w:r>
    </w:p>
    <w:p w14:paraId="45E3B30F" w14:textId="77777777" w:rsidR="00E63EBA" w:rsidRDefault="00E63EBA" w:rsidP="00E63EBA"/>
    <w:p w14:paraId="773F6237" w14:textId="21AE49B5" w:rsidR="00E63EBA" w:rsidRDefault="00AC2017" w:rsidP="00E63EBA">
      <w:pPr>
        <w:rPr>
          <w:i/>
          <w:iCs/>
          <w:sz w:val="16"/>
          <w:szCs w:val="16"/>
        </w:rPr>
      </w:pPr>
      <w:r w:rsidRPr="00AC2017">
        <w:rPr>
          <w:i/>
          <w:iCs/>
          <w:sz w:val="16"/>
          <w:szCs w:val="16"/>
        </w:rPr>
        <w:t xml:space="preserve">This analysis </w:t>
      </w:r>
      <w:proofErr w:type="gramStart"/>
      <w:r w:rsidRPr="00AC2017">
        <w:rPr>
          <w:i/>
          <w:iCs/>
          <w:sz w:val="16"/>
          <w:szCs w:val="16"/>
        </w:rPr>
        <w:t>was performed</w:t>
      </w:r>
      <w:proofErr w:type="gramEnd"/>
      <w:r w:rsidRPr="00AC2017">
        <w:rPr>
          <w:i/>
          <w:iCs/>
          <w:sz w:val="16"/>
          <w:szCs w:val="16"/>
        </w:rPr>
        <w:t xml:space="preserve"> using Python (version 3.13; Python Software Foundation, 2024), with data manipulation </w:t>
      </w:r>
      <w:proofErr w:type="gramStart"/>
      <w:r w:rsidRPr="00AC2017">
        <w:rPr>
          <w:i/>
          <w:iCs/>
          <w:sz w:val="16"/>
          <w:szCs w:val="16"/>
        </w:rPr>
        <w:t>handled</w:t>
      </w:r>
      <w:proofErr w:type="gramEnd"/>
      <w:r w:rsidRPr="00AC2017">
        <w:rPr>
          <w:i/>
          <w:iCs/>
          <w:sz w:val="16"/>
          <w:szCs w:val="16"/>
        </w:rPr>
        <w:t xml:space="preserve"> by Pandas (McKinney, 2010), numerical computing via NumPy (Harris et al., 2020), and visualizations produced using Matplotlib (Hunter, 2007)</w:t>
      </w:r>
      <w:proofErr w:type="gramStart"/>
      <w:r w:rsidRPr="00AC2017">
        <w:rPr>
          <w:i/>
          <w:iCs/>
          <w:sz w:val="16"/>
          <w:szCs w:val="16"/>
        </w:rPr>
        <w:t>.</w:t>
      </w:r>
      <w:r>
        <w:rPr>
          <w:i/>
          <w:iCs/>
          <w:sz w:val="16"/>
          <w:szCs w:val="16"/>
        </w:rPr>
        <w:t xml:space="preserve"> </w:t>
      </w:r>
      <w:r w:rsidR="001C5FBB">
        <w:rPr>
          <w:i/>
          <w:iCs/>
          <w:sz w:val="16"/>
          <w:szCs w:val="16"/>
        </w:rPr>
        <w:t xml:space="preserve"> </w:t>
      </w:r>
      <w:proofErr w:type="gramEnd"/>
      <w:r w:rsidR="001C5FBB">
        <w:rPr>
          <w:i/>
          <w:iCs/>
          <w:sz w:val="16"/>
          <w:szCs w:val="16"/>
        </w:rPr>
        <w:lastRenderedPageBreak/>
        <w:t xml:space="preserve">Data Source: </w:t>
      </w:r>
      <w:r w:rsidR="00497B80" w:rsidRPr="00497B80">
        <w:rPr>
          <w:i/>
          <w:iCs/>
          <w:sz w:val="16"/>
          <w:szCs w:val="16"/>
        </w:rPr>
        <w:t xml:space="preserve">CoinGecko. (2025). Cryptocurrency market data API. CoinGecko. Retrieved August 11, 2025, from </w:t>
      </w:r>
      <w:hyperlink r:id="rId5" w:history="1">
        <w:r w:rsidR="006704A6" w:rsidRPr="0027657B">
          <w:rPr>
            <w:rStyle w:val="Hyperlink"/>
            <w:i/>
            <w:iCs/>
            <w:sz w:val="16"/>
            <w:szCs w:val="16"/>
          </w:rPr>
          <w:t>https://www.coingecko.com/en/api</w:t>
        </w:r>
      </w:hyperlink>
      <w:proofErr w:type="gramStart"/>
      <w:r w:rsidR="006704A6">
        <w:rPr>
          <w:i/>
          <w:iCs/>
          <w:sz w:val="16"/>
          <w:szCs w:val="16"/>
        </w:rPr>
        <w:t xml:space="preserve">.  </w:t>
      </w:r>
      <w:proofErr w:type="gramEnd"/>
      <w:r w:rsidR="00E63EBA" w:rsidRPr="00E63EBA">
        <w:rPr>
          <w:i/>
          <w:iCs/>
          <w:sz w:val="16"/>
          <w:szCs w:val="16"/>
        </w:rPr>
        <w:t>All quantitative results are based on independent analysis and verified</w:t>
      </w:r>
      <w:r w:rsidR="007F5C8A">
        <w:rPr>
          <w:i/>
          <w:iCs/>
          <w:sz w:val="16"/>
          <w:szCs w:val="16"/>
        </w:rPr>
        <w:t xml:space="preserve"> historical crypto</w:t>
      </w:r>
      <w:r w:rsidR="00E63EBA" w:rsidRPr="00E63EBA">
        <w:rPr>
          <w:i/>
          <w:iCs/>
          <w:sz w:val="16"/>
          <w:szCs w:val="16"/>
        </w:rPr>
        <w:t xml:space="preserve"> data</w:t>
      </w:r>
      <w:r w:rsidR="00163353">
        <w:rPr>
          <w:i/>
          <w:iCs/>
          <w:sz w:val="16"/>
          <w:szCs w:val="16"/>
        </w:rPr>
        <w:t>.</w:t>
      </w:r>
    </w:p>
    <w:p w14:paraId="426587A3" w14:textId="2BB64125" w:rsidR="00D749E4" w:rsidRPr="00D749E4" w:rsidRDefault="00D749E4" w:rsidP="00D749E4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</w:t>
      </w:r>
      <w:r w:rsidRPr="00D749E4">
        <w:rPr>
          <w:i/>
          <w:iCs/>
          <w:sz w:val="16"/>
          <w:szCs w:val="16"/>
        </w:rPr>
        <w:t>ources:</w:t>
      </w:r>
    </w:p>
    <w:p w14:paraId="4C115CFE" w14:textId="77777777" w:rsidR="00D749E4" w:rsidRPr="00D749E4" w:rsidRDefault="00D749E4" w:rsidP="00D749E4">
      <w:pPr>
        <w:rPr>
          <w:i/>
          <w:iCs/>
          <w:sz w:val="16"/>
          <w:szCs w:val="16"/>
        </w:rPr>
      </w:pPr>
      <w:r w:rsidRPr="00D749E4">
        <w:rPr>
          <w:i/>
          <w:iCs/>
          <w:sz w:val="16"/>
          <w:szCs w:val="16"/>
        </w:rPr>
        <w:t>Wall Street Quants. (2025). Wall Street Quants masterclass: Quantitative finance strategies [Online course]. Wall Street Quants. https://www.wallstreetquants.com</w:t>
      </w:r>
    </w:p>
    <w:p w14:paraId="512961E0" w14:textId="77777777" w:rsidR="00D749E4" w:rsidRPr="00D749E4" w:rsidRDefault="00D749E4" w:rsidP="00D749E4">
      <w:pPr>
        <w:rPr>
          <w:i/>
          <w:iCs/>
          <w:sz w:val="16"/>
          <w:szCs w:val="16"/>
        </w:rPr>
      </w:pPr>
    </w:p>
    <w:p w14:paraId="3B9CB3E7" w14:textId="25E8E48E" w:rsidR="00D749E4" w:rsidRPr="00D749E4" w:rsidRDefault="00D749E4" w:rsidP="00D749E4">
      <w:pPr>
        <w:rPr>
          <w:i/>
          <w:iCs/>
          <w:sz w:val="16"/>
          <w:szCs w:val="16"/>
        </w:rPr>
      </w:pPr>
      <w:r w:rsidRPr="00D749E4">
        <w:rPr>
          <w:i/>
          <w:iCs/>
          <w:sz w:val="16"/>
          <w:szCs w:val="16"/>
        </w:rPr>
        <w:t xml:space="preserve">Connor. (2024, December 17). </w:t>
      </w:r>
      <w:proofErr w:type="gramStart"/>
      <w:r w:rsidRPr="00D749E4">
        <w:rPr>
          <w:i/>
          <w:iCs/>
          <w:sz w:val="16"/>
          <w:szCs w:val="16"/>
        </w:rPr>
        <w:t xml:space="preserve">What </w:t>
      </w:r>
      <w:r w:rsidR="00F94C4F">
        <w:rPr>
          <w:i/>
          <w:iCs/>
          <w:sz w:val="16"/>
          <w:szCs w:val="16"/>
        </w:rPr>
        <w:t>I</w:t>
      </w:r>
      <w:r w:rsidRPr="00D749E4">
        <w:rPr>
          <w:i/>
          <w:iCs/>
          <w:sz w:val="16"/>
          <w:szCs w:val="16"/>
        </w:rPr>
        <w:t>t</w:t>
      </w:r>
      <w:proofErr w:type="gramEnd"/>
      <w:r w:rsidRPr="00D749E4">
        <w:rPr>
          <w:i/>
          <w:iCs/>
          <w:sz w:val="16"/>
          <w:szCs w:val="16"/>
        </w:rPr>
        <w:t xml:space="preserve"> </w:t>
      </w:r>
      <w:r w:rsidR="00F94C4F">
        <w:rPr>
          <w:i/>
          <w:iCs/>
          <w:sz w:val="16"/>
          <w:szCs w:val="16"/>
        </w:rPr>
        <w:t>M</w:t>
      </w:r>
      <w:r w:rsidRPr="00D749E4">
        <w:rPr>
          <w:i/>
          <w:iCs/>
          <w:sz w:val="16"/>
          <w:szCs w:val="16"/>
        </w:rPr>
        <w:t xml:space="preserve">eans </w:t>
      </w:r>
      <w:r w:rsidR="007F7F56">
        <w:rPr>
          <w:i/>
          <w:iCs/>
          <w:sz w:val="16"/>
          <w:szCs w:val="16"/>
        </w:rPr>
        <w:t>t</w:t>
      </w:r>
      <w:r w:rsidR="00F94C4F">
        <w:rPr>
          <w:i/>
          <w:iCs/>
          <w:sz w:val="16"/>
          <w:szCs w:val="16"/>
        </w:rPr>
        <w:t>o B</w:t>
      </w:r>
      <w:r w:rsidRPr="00D749E4">
        <w:rPr>
          <w:i/>
          <w:iCs/>
          <w:sz w:val="16"/>
          <w:szCs w:val="16"/>
        </w:rPr>
        <w:t>e ‘</w:t>
      </w:r>
      <w:r w:rsidR="00F94C4F">
        <w:rPr>
          <w:i/>
          <w:iCs/>
          <w:sz w:val="16"/>
          <w:szCs w:val="16"/>
        </w:rPr>
        <w:t>M</w:t>
      </w:r>
      <w:r w:rsidRPr="00D749E4">
        <w:rPr>
          <w:i/>
          <w:iCs/>
          <w:sz w:val="16"/>
          <w:szCs w:val="16"/>
        </w:rPr>
        <w:t>ispriced’? (Stocks, crypto, consumer goods). The CoinZone. Retrieved August 10, 2025, from https://www.thecoinzone.com/tradfi/mispriced-meaning</w:t>
      </w:r>
    </w:p>
    <w:p w14:paraId="05AE837B" w14:textId="77777777" w:rsidR="00D749E4" w:rsidRPr="00D749E4" w:rsidRDefault="00D749E4" w:rsidP="00D749E4">
      <w:pPr>
        <w:rPr>
          <w:i/>
          <w:iCs/>
          <w:sz w:val="16"/>
          <w:szCs w:val="16"/>
        </w:rPr>
      </w:pPr>
    </w:p>
    <w:p w14:paraId="12F6C201" w14:textId="5367F882" w:rsidR="00D749E4" w:rsidRPr="00D749E4" w:rsidRDefault="00D749E4" w:rsidP="00D749E4">
      <w:pPr>
        <w:rPr>
          <w:i/>
          <w:iCs/>
          <w:sz w:val="16"/>
          <w:szCs w:val="16"/>
        </w:rPr>
      </w:pPr>
      <w:r w:rsidRPr="00D749E4">
        <w:rPr>
          <w:i/>
          <w:iCs/>
          <w:sz w:val="16"/>
          <w:szCs w:val="16"/>
        </w:rPr>
        <w:t xml:space="preserve">Investurns. (2025, August 9). How </w:t>
      </w:r>
      <w:r w:rsidR="007F7F56">
        <w:rPr>
          <w:i/>
          <w:iCs/>
          <w:sz w:val="16"/>
          <w:szCs w:val="16"/>
        </w:rPr>
        <w:t>t</w:t>
      </w:r>
      <w:r w:rsidRPr="00D749E4">
        <w:rPr>
          <w:i/>
          <w:iCs/>
          <w:sz w:val="16"/>
          <w:szCs w:val="16"/>
        </w:rPr>
        <w:t xml:space="preserve">o </w:t>
      </w:r>
      <w:r w:rsidR="00054D38">
        <w:rPr>
          <w:i/>
          <w:iCs/>
          <w:sz w:val="16"/>
          <w:szCs w:val="16"/>
        </w:rPr>
        <w:t>W</w:t>
      </w:r>
      <w:r w:rsidRPr="00D749E4">
        <w:rPr>
          <w:i/>
          <w:iCs/>
          <w:sz w:val="16"/>
          <w:szCs w:val="16"/>
        </w:rPr>
        <w:t xml:space="preserve">eight </w:t>
      </w:r>
      <w:r w:rsidR="00054D38">
        <w:rPr>
          <w:i/>
          <w:iCs/>
          <w:sz w:val="16"/>
          <w:szCs w:val="16"/>
        </w:rPr>
        <w:t>C</w:t>
      </w:r>
      <w:r w:rsidRPr="00D749E4">
        <w:rPr>
          <w:i/>
          <w:iCs/>
          <w:sz w:val="16"/>
          <w:szCs w:val="16"/>
        </w:rPr>
        <w:t>rypto</w:t>
      </w:r>
      <w:r w:rsidR="00054D38">
        <w:rPr>
          <w:i/>
          <w:iCs/>
          <w:sz w:val="16"/>
          <w:szCs w:val="16"/>
        </w:rPr>
        <w:t xml:space="preserve"> A</w:t>
      </w:r>
      <w:r w:rsidRPr="00D749E4">
        <w:rPr>
          <w:i/>
          <w:iCs/>
          <w:sz w:val="16"/>
          <w:szCs w:val="16"/>
        </w:rPr>
        <w:t xml:space="preserve">ssets: Beyond </w:t>
      </w:r>
      <w:r w:rsidR="00054D38">
        <w:rPr>
          <w:i/>
          <w:iCs/>
          <w:sz w:val="16"/>
          <w:szCs w:val="16"/>
        </w:rPr>
        <w:t>S</w:t>
      </w:r>
      <w:r w:rsidRPr="00D749E4">
        <w:rPr>
          <w:i/>
          <w:iCs/>
          <w:sz w:val="16"/>
          <w:szCs w:val="16"/>
        </w:rPr>
        <w:t xml:space="preserve">imple </w:t>
      </w:r>
      <w:r w:rsidR="00054D38">
        <w:rPr>
          <w:i/>
          <w:iCs/>
          <w:sz w:val="16"/>
          <w:szCs w:val="16"/>
        </w:rPr>
        <w:t>E</w:t>
      </w:r>
      <w:r w:rsidRPr="00D749E4">
        <w:rPr>
          <w:i/>
          <w:iCs/>
          <w:sz w:val="16"/>
          <w:szCs w:val="16"/>
        </w:rPr>
        <w:t xml:space="preserve">qual </w:t>
      </w:r>
      <w:r w:rsidR="00054D38">
        <w:rPr>
          <w:i/>
          <w:iCs/>
          <w:sz w:val="16"/>
          <w:szCs w:val="16"/>
        </w:rPr>
        <w:t>A</w:t>
      </w:r>
      <w:r w:rsidRPr="00D749E4">
        <w:rPr>
          <w:i/>
          <w:iCs/>
          <w:sz w:val="16"/>
          <w:szCs w:val="16"/>
        </w:rPr>
        <w:t>llocation. Investurns. Retrieved August 12, 2025, from https://investurns.com/how-to-weight-your-crypto-assets-beyond-simple-equal-allocation/</w:t>
      </w:r>
    </w:p>
    <w:p w14:paraId="1F7D5C4F" w14:textId="77777777" w:rsidR="00D749E4" w:rsidRPr="00D749E4" w:rsidRDefault="00D749E4" w:rsidP="00D749E4">
      <w:pPr>
        <w:rPr>
          <w:i/>
          <w:iCs/>
          <w:sz w:val="16"/>
          <w:szCs w:val="16"/>
        </w:rPr>
      </w:pPr>
    </w:p>
    <w:p w14:paraId="274B022A" w14:textId="2ECF87E3" w:rsidR="00D749E4" w:rsidRPr="00D749E4" w:rsidRDefault="00D749E4" w:rsidP="00D749E4">
      <w:pPr>
        <w:rPr>
          <w:i/>
          <w:iCs/>
          <w:sz w:val="16"/>
          <w:szCs w:val="16"/>
        </w:rPr>
      </w:pPr>
      <w:r w:rsidRPr="00D749E4">
        <w:rPr>
          <w:i/>
          <w:iCs/>
          <w:sz w:val="16"/>
          <w:szCs w:val="16"/>
        </w:rPr>
        <w:t xml:space="preserve">Cryptopedia. (n.d.). Crypto </w:t>
      </w:r>
      <w:r w:rsidR="00F94C4F">
        <w:rPr>
          <w:i/>
          <w:iCs/>
          <w:sz w:val="16"/>
          <w:szCs w:val="16"/>
        </w:rPr>
        <w:t>A</w:t>
      </w:r>
      <w:r w:rsidRPr="00D749E4">
        <w:rPr>
          <w:i/>
          <w:iCs/>
          <w:sz w:val="16"/>
          <w:szCs w:val="16"/>
        </w:rPr>
        <w:t xml:space="preserve">rbitrage: Exploiting </w:t>
      </w:r>
      <w:r w:rsidR="00F94C4F">
        <w:rPr>
          <w:i/>
          <w:iCs/>
          <w:sz w:val="16"/>
          <w:szCs w:val="16"/>
        </w:rPr>
        <w:t>E</w:t>
      </w:r>
      <w:r w:rsidRPr="00D749E4">
        <w:rPr>
          <w:i/>
          <w:iCs/>
          <w:sz w:val="16"/>
          <w:szCs w:val="16"/>
        </w:rPr>
        <w:t xml:space="preserve">xchange </w:t>
      </w:r>
      <w:r w:rsidR="00F94C4F">
        <w:rPr>
          <w:i/>
          <w:iCs/>
          <w:sz w:val="16"/>
          <w:szCs w:val="16"/>
        </w:rPr>
        <w:t>P</w:t>
      </w:r>
      <w:r w:rsidRPr="00D749E4">
        <w:rPr>
          <w:i/>
          <w:iCs/>
          <w:sz w:val="16"/>
          <w:szCs w:val="16"/>
        </w:rPr>
        <w:t xml:space="preserve">rice </w:t>
      </w:r>
      <w:r w:rsidR="00F94C4F">
        <w:rPr>
          <w:i/>
          <w:iCs/>
          <w:sz w:val="16"/>
          <w:szCs w:val="16"/>
        </w:rPr>
        <w:t>D</w:t>
      </w:r>
      <w:r w:rsidRPr="00D749E4">
        <w:rPr>
          <w:i/>
          <w:iCs/>
          <w:sz w:val="16"/>
          <w:szCs w:val="16"/>
        </w:rPr>
        <w:t>ifferences. Retrieved August 13, 2025, from https://www.cryptopedia/crypto-arbitrage-crypto-exchange-prices</w:t>
      </w:r>
    </w:p>
    <w:p w14:paraId="2F197B4C" w14:textId="77777777" w:rsidR="00D749E4" w:rsidRDefault="00D749E4" w:rsidP="00E63EBA">
      <w:pPr>
        <w:rPr>
          <w:i/>
          <w:iCs/>
          <w:sz w:val="16"/>
          <w:szCs w:val="16"/>
        </w:rPr>
      </w:pPr>
    </w:p>
    <w:p w14:paraId="4829E022" w14:textId="77777777" w:rsidR="00163353" w:rsidRPr="00E63EBA" w:rsidRDefault="00163353" w:rsidP="00E63EBA">
      <w:pPr>
        <w:rPr>
          <w:i/>
          <w:iCs/>
          <w:sz w:val="16"/>
          <w:szCs w:val="16"/>
        </w:rPr>
      </w:pPr>
    </w:p>
    <w:p w14:paraId="233379B5" w14:textId="4248078C" w:rsidR="002D39EA" w:rsidRPr="00070B12" w:rsidRDefault="002D39EA" w:rsidP="00070B12"/>
    <w:sectPr w:rsidR="002D39EA" w:rsidRPr="0007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26576"/>
    <w:multiLevelType w:val="multilevel"/>
    <w:tmpl w:val="36BC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A4B5A"/>
    <w:multiLevelType w:val="hybridMultilevel"/>
    <w:tmpl w:val="13F4C3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F67D39"/>
    <w:multiLevelType w:val="multilevel"/>
    <w:tmpl w:val="8E8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83F91"/>
    <w:multiLevelType w:val="multilevel"/>
    <w:tmpl w:val="D5EC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A56FB"/>
    <w:multiLevelType w:val="multilevel"/>
    <w:tmpl w:val="2D66118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D5042"/>
    <w:multiLevelType w:val="multilevel"/>
    <w:tmpl w:val="396680A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71672"/>
    <w:multiLevelType w:val="multilevel"/>
    <w:tmpl w:val="AA6EBDE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3217F"/>
    <w:multiLevelType w:val="multilevel"/>
    <w:tmpl w:val="9C5E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C76C3"/>
    <w:multiLevelType w:val="hybridMultilevel"/>
    <w:tmpl w:val="BACE1E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102728"/>
    <w:multiLevelType w:val="multilevel"/>
    <w:tmpl w:val="CCAE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30701"/>
    <w:multiLevelType w:val="multilevel"/>
    <w:tmpl w:val="C4A2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63D01"/>
    <w:multiLevelType w:val="multilevel"/>
    <w:tmpl w:val="387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F5427"/>
    <w:multiLevelType w:val="multilevel"/>
    <w:tmpl w:val="2724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E3D9E"/>
    <w:multiLevelType w:val="multilevel"/>
    <w:tmpl w:val="2AC8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41196"/>
    <w:multiLevelType w:val="multilevel"/>
    <w:tmpl w:val="B03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938358">
    <w:abstractNumId w:val="2"/>
  </w:num>
  <w:num w:numId="2" w16cid:durableId="341015033">
    <w:abstractNumId w:val="12"/>
  </w:num>
  <w:num w:numId="3" w16cid:durableId="590620779">
    <w:abstractNumId w:val="0"/>
  </w:num>
  <w:num w:numId="4" w16cid:durableId="1473789448">
    <w:abstractNumId w:val="11"/>
  </w:num>
  <w:num w:numId="5" w16cid:durableId="89744599">
    <w:abstractNumId w:val="14"/>
  </w:num>
  <w:num w:numId="6" w16cid:durableId="915633936">
    <w:abstractNumId w:val="9"/>
  </w:num>
  <w:num w:numId="7" w16cid:durableId="811798570">
    <w:abstractNumId w:val="13"/>
  </w:num>
  <w:num w:numId="8" w16cid:durableId="508953470">
    <w:abstractNumId w:val="10"/>
  </w:num>
  <w:num w:numId="9" w16cid:durableId="602491349">
    <w:abstractNumId w:val="3"/>
  </w:num>
  <w:num w:numId="10" w16cid:durableId="1295216018">
    <w:abstractNumId w:val="7"/>
  </w:num>
  <w:num w:numId="11" w16cid:durableId="1007561457">
    <w:abstractNumId w:val="5"/>
  </w:num>
  <w:num w:numId="12" w16cid:durableId="77529174">
    <w:abstractNumId w:val="1"/>
  </w:num>
  <w:num w:numId="13" w16cid:durableId="568350710">
    <w:abstractNumId w:val="8"/>
  </w:num>
  <w:num w:numId="14" w16cid:durableId="412822971">
    <w:abstractNumId w:val="4"/>
  </w:num>
  <w:num w:numId="15" w16cid:durableId="11850505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12"/>
    <w:rsid w:val="00016E57"/>
    <w:rsid w:val="00020C05"/>
    <w:rsid w:val="00025040"/>
    <w:rsid w:val="00037127"/>
    <w:rsid w:val="0004143E"/>
    <w:rsid w:val="00054D38"/>
    <w:rsid w:val="0006797E"/>
    <w:rsid w:val="00070B12"/>
    <w:rsid w:val="000D3761"/>
    <w:rsid w:val="000D5CD5"/>
    <w:rsid w:val="00102E51"/>
    <w:rsid w:val="00107D59"/>
    <w:rsid w:val="00124759"/>
    <w:rsid w:val="0012606B"/>
    <w:rsid w:val="00153756"/>
    <w:rsid w:val="00163353"/>
    <w:rsid w:val="0016719C"/>
    <w:rsid w:val="001C5FBB"/>
    <w:rsid w:val="001F57DB"/>
    <w:rsid w:val="00235EC8"/>
    <w:rsid w:val="00247386"/>
    <w:rsid w:val="002646B3"/>
    <w:rsid w:val="002A47E9"/>
    <w:rsid w:val="002A67D7"/>
    <w:rsid w:val="002D39EA"/>
    <w:rsid w:val="00304A19"/>
    <w:rsid w:val="00335187"/>
    <w:rsid w:val="00336C27"/>
    <w:rsid w:val="003939E9"/>
    <w:rsid w:val="003A35C0"/>
    <w:rsid w:val="0042067E"/>
    <w:rsid w:val="0042359C"/>
    <w:rsid w:val="00432D08"/>
    <w:rsid w:val="00497B80"/>
    <w:rsid w:val="004B2D8D"/>
    <w:rsid w:val="004B4ADF"/>
    <w:rsid w:val="004D33B2"/>
    <w:rsid w:val="004F220F"/>
    <w:rsid w:val="00525554"/>
    <w:rsid w:val="005653E1"/>
    <w:rsid w:val="00590B69"/>
    <w:rsid w:val="005C5393"/>
    <w:rsid w:val="00614FA3"/>
    <w:rsid w:val="00662646"/>
    <w:rsid w:val="006704A6"/>
    <w:rsid w:val="006C0520"/>
    <w:rsid w:val="006D1F5F"/>
    <w:rsid w:val="006E39AD"/>
    <w:rsid w:val="00703EE3"/>
    <w:rsid w:val="00710932"/>
    <w:rsid w:val="00711F46"/>
    <w:rsid w:val="007312B6"/>
    <w:rsid w:val="00755266"/>
    <w:rsid w:val="007B3272"/>
    <w:rsid w:val="007F5C8A"/>
    <w:rsid w:val="007F7F56"/>
    <w:rsid w:val="00852BBE"/>
    <w:rsid w:val="008928C6"/>
    <w:rsid w:val="008A5685"/>
    <w:rsid w:val="008C034A"/>
    <w:rsid w:val="008C54F2"/>
    <w:rsid w:val="008F608A"/>
    <w:rsid w:val="00906D04"/>
    <w:rsid w:val="0095116C"/>
    <w:rsid w:val="009C4BDA"/>
    <w:rsid w:val="009F4F49"/>
    <w:rsid w:val="00A17DBB"/>
    <w:rsid w:val="00A27630"/>
    <w:rsid w:val="00A346DF"/>
    <w:rsid w:val="00A64F58"/>
    <w:rsid w:val="00AB230B"/>
    <w:rsid w:val="00AC2017"/>
    <w:rsid w:val="00B05A86"/>
    <w:rsid w:val="00B201C8"/>
    <w:rsid w:val="00B513D1"/>
    <w:rsid w:val="00B70BDE"/>
    <w:rsid w:val="00B81C4F"/>
    <w:rsid w:val="00B82BD3"/>
    <w:rsid w:val="00B848CE"/>
    <w:rsid w:val="00B9442E"/>
    <w:rsid w:val="00B97976"/>
    <w:rsid w:val="00BB10C0"/>
    <w:rsid w:val="00BD372B"/>
    <w:rsid w:val="00BE23A3"/>
    <w:rsid w:val="00C2305D"/>
    <w:rsid w:val="00C604DA"/>
    <w:rsid w:val="00C84A48"/>
    <w:rsid w:val="00CA6813"/>
    <w:rsid w:val="00CE05AC"/>
    <w:rsid w:val="00D2102C"/>
    <w:rsid w:val="00D54031"/>
    <w:rsid w:val="00D749E4"/>
    <w:rsid w:val="00D934B1"/>
    <w:rsid w:val="00DB0B34"/>
    <w:rsid w:val="00DD1A76"/>
    <w:rsid w:val="00E63EBA"/>
    <w:rsid w:val="00E8396C"/>
    <w:rsid w:val="00F036AD"/>
    <w:rsid w:val="00F05765"/>
    <w:rsid w:val="00F4374C"/>
    <w:rsid w:val="00F807F1"/>
    <w:rsid w:val="00F94C4F"/>
    <w:rsid w:val="00FA1EE7"/>
    <w:rsid w:val="00FC1B93"/>
    <w:rsid w:val="00FC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7030"/>
  <w15:chartTrackingRefBased/>
  <w15:docId w15:val="{CCB92B94-B59D-4163-9E9E-4AFAB62E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4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ingecko.com/en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A3J Services</dc:creator>
  <cp:keywords/>
  <dc:description/>
  <cp:lastModifiedBy>A3J Services</cp:lastModifiedBy>
  <cp:revision>107</cp:revision>
  <dcterms:created xsi:type="dcterms:W3CDTF">2025-08-19T23:39:00Z</dcterms:created>
  <dcterms:modified xsi:type="dcterms:W3CDTF">2025-08-20T22:36:00Z</dcterms:modified>
</cp:coreProperties>
</file>