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2D5A2D"/>
          <w:sz w:val="64"/>
          <w:szCs w:val="64"/>
        </w:rPr>
        <w:t xml:space="preserve">AfroMercado</w:t>
      </w:r>
    </w:p>
    <w:p>
      <w:pPr>
        <w:spacing w:before="120"/>
        <w:jc w:val="center"/>
      </w:pPr>
      <w:r>
        <w:rPr>
          <w:b/>
          <w:bCs/>
          <w:sz w:val="32"/>
          <w:szCs w:val="32"/>
        </w:rPr>
        <w:t xml:space="preserve">Hallazgos del Levantamiento de Campo</w:t>
      </w:r>
    </w:p>
    <w:p>
      <w:pPr>
        <w:spacing w:before="200"/>
        <w:jc w:val="center"/>
      </w:pPr>
      <w:r>
        <w:rPr>
          <w:color w:val="555555"/>
          <w:sz w:val="24"/>
          <w:szCs w:val="24"/>
        </w:rPr>
        <w:t xml:space="preserve">Validación con productores, artesanos y gastronomía del Chocó</w:t>
      </w:r>
    </w:p>
    <w:p>
      <w:pPr>
        <w:spacing w:before="1800"/>
        <w:jc w:val="center"/>
      </w:pPr>
      <w:r>
        <w:rPr>
          <w:i/>
          <w:iCs/>
          <w:color w:val="A07840"/>
          <w:sz w:val="22"/>
          <w:szCs w:val="22"/>
        </w:rPr>
        <w:t xml:space="preserve">Basado en entrevistas reales del territorio</w:t>
      </w:r>
    </w:p>
    <w:p>
      <w:pPr>
        <w:spacing w:before="120"/>
        <w:jc w:val="center"/>
      </w:pPr>
      <w:r>
        <w:rPr>
          <w:color w:val="555555"/>
          <w:sz w:val="22"/>
          <w:szCs w:val="22"/>
        </w:rPr>
        <w:t xml:space="preserve">Junio 2026 · Versión 1.0</w:t>
      </w:r>
    </w:p>
    <w:p>
      <w:r>
        <w:br w:type="page"/>
      </w:r>
    </w:p>
    <w:p>
      <w:pPr>
        <w:pStyle w:val="Heading1"/>
      </w:pPr>
      <w:r>
        <w:t xml:space="preserve">1. Resumen del Levantamiento</w:t>
      </w:r>
    </w:p>
    <w:p>
      <w:pPr>
        <w:spacing w:after="120"/>
      </w:pPr>
      <w:r>
        <w:t xml:space="preserve">Se realizaron tres entrevistas en el territorio chocoano, cubriendo los tres perfiles productivos clave de la plataforma. El objetivo fue validar la viabilidad de AfroMercado con información real, en lugar de suposiciones.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200"/>
        <w:gridCol w:w="2400"/>
      </w:tblGrid>
      <w:tr>
        <w:trPr>
          <w:tblHeader/>
        </w:trPr>
        <w:tc>
          <w:tcPr>
            <w:tcW w:type="dxa" w:w="2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Perfil</w:t>
            </w:r>
          </w:p>
        </w:tc>
        <w:tc>
          <w:tcPr>
            <w:tcW w:type="dxa" w:w="27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Persona</w:t>
            </w:r>
          </w:p>
        </w:tc>
        <w:tc>
          <w:tcPr>
            <w:tcW w:type="dxa" w:w="22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Ubicación</w:t>
            </w:r>
          </w:p>
        </w:tc>
        <w:tc>
          <w:tcPr>
            <w:tcW w:type="dxa" w:w="24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Actividad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Agricultor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José Antonio Mosquera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Tutunendo, Quibdó</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Plátano, yuca, banano, borojó</w:t>
            </w:r>
          </w:p>
        </w:tc>
      </w:tr>
      <w:tr>
        <w:tc>
          <w:tcPr>
            <w:tcW w:type="dxa" w:w="2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Artesana indígena</w:t>
            </w:r>
          </w:p>
        </w:tc>
        <w:tc>
          <w:tcPr>
            <w:tcW w:type="dxa" w:w="27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Ana Tulia Cárdenas</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Medio San Juan</w:t>
            </w:r>
          </w:p>
        </w:tc>
        <w:tc>
          <w:tcPr>
            <w:tcW w:type="dxa" w:w="24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Werregue, chaquiras, fibras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Gastronomía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Marta Cecilia Palacios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Quibdó</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Comida típica, dulces, bebidas</w:t>
            </w:r>
          </w:p>
        </w:tc>
      </w:tr>
    </w:tbl>
    <w:p>
      <w:pPr>
        <w:spacing w:after="120"/>
      </w:pPr>
      <w:r>
        <w:t xml:space="preserve"/>
      </w:r>
    </w:p>
    <w:p>
      <w:pPr>
        <w:spacing w:after="120"/>
      </w:pPr>
      <w:r>
        <w:rPr>
          <w:b/>
          <w:bCs/>
        </w:rPr>
        <w:t xml:space="preserve">Conclusión principal:</w:t>
      </w:r>
    </w:p>
    <w:p>
      <w:pPr>
        <w:pBdr>
          <w:left w:val="single" w:color="A07840" w:sz="18" w:space="12"/>
        </w:pBdr>
        <w:spacing w:after="120" w:before="120"/>
        <w:ind w:left="360"/>
      </w:pPr>
      <w:r>
        <w:rPr>
          <w:i/>
          <w:iCs/>
          <w:color w:val="555555"/>
        </w:rPr>
        <w:t xml:space="preserve">Los tres perfiles manifestaron interés en la plataforma, motivados por la misma necesidad: vender directo, sin intermediarios que pagan precios bajos. La oportunidad de mercado queda validada.</w:t>
      </w:r>
    </w:p>
    <w:p>
      <w:pPr>
        <w:spacing w:after="120"/>
      </w:pPr>
      <w:r>
        <w:t xml:space="preserve"/>
      </w:r>
    </w:p>
    <w:p>
      <w:pPr>
        <w:pStyle w:val="Heading1"/>
      </w:pPr>
      <w:r>
        <w:t xml:space="preserve">2. Hallazgo Central: La Necesidad es Real</w:t>
      </w:r>
    </w:p>
    <w:p>
      <w:pPr>
        <w:spacing w:after="120"/>
      </w:pPr>
      <w:r>
        <w:t xml:space="preserve">El problema que AfroMercado resuelve quedó confirmado de forma contundente. El caso más claro es el del agricultor:</w:t>
      </w:r>
    </w:p>
    <w:p>
      <w:pPr>
        <w:pBdr>
          <w:left w:val="single" w:color="A07840" w:sz="18" w:space="12"/>
        </w:pBdr>
        <w:spacing w:after="120" w:before="120"/>
        <w:ind w:left="360"/>
      </w:pPr>
      <w:r>
        <w:rPr>
          <w:i/>
          <w:iCs/>
          <w:color w:val="555555"/>
        </w:rPr>
        <w:t xml:space="preserve">El racimo de plátano se lo compran entre $15.000 y $18.000, cuando quisiera venderlo entre $22.000 y $25.000 para que valga el trabajo y el transporte.</w:t>
      </w:r>
    </w:p>
    <w:p>
      <w:pPr>
        <w:spacing w:after="120"/>
      </w:pPr>
      <w:r>
        <w:t xml:space="preserve">Esa diferencia de precio es exactamente el valor que el intermediario retiene y que AfroMercado devuelve al productor. Los tres entrevistados coincidieron en el deseo de vender directo y de dar a conocer los productos del Chocó en otras ciudades.</w:t>
      </w:r>
    </w:p>
    <w:p>
      <w:pPr>
        <w:spacing w:after="120"/>
      </w:pPr>
      <w:r>
        <w:t xml:space="preserve"/>
      </w:r>
    </w:p>
    <w:p>
      <w:pPr>
        <w:pStyle w:val="Heading1"/>
      </w:pPr>
      <w:r>
        <w:t xml:space="preserve">3. Desconfianzas Comunes (Qué Construir Bien)</w:t>
      </w:r>
    </w:p>
    <w:p>
      <w:pPr>
        <w:spacing w:after="120"/>
      </w:pPr>
      <w:r>
        <w:t xml:space="preserve">Las preocupaciones expresadas por los entrevistados son la mejor guía de diseño, porque señalan exactamente dónde la plataforma debe generar confianza: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Desconfianza</w:t>
            </w:r>
          </w:p>
        </w:tc>
        <w:tc>
          <w:tcPr>
            <w:tcW w:type="dxa" w:w="23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Quién la expresó</w:t>
            </w:r>
          </w:p>
        </w:tc>
        <w:tc>
          <w:tcPr>
            <w:tcW w:type="dxa" w:w="4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Cómo la resuelve AfroMercado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Que el pago no llegue o se demore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Los tres perfiles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Pago seguro con split garantizado y comunicación clara del estado del pago</w:t>
            </w:r>
          </w:p>
        </w:tc>
      </w:tr>
      <w:tr>
        <w:tc>
          <w:tcPr>
            <w:tcW w:type="dxa" w:w="3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Que el producto se dañe en transporte</w:t>
            </w:r>
          </w:p>
        </w:tc>
        <w:tc>
          <w:tcPr>
            <w:tcW w:type="dxa" w:w="2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Los tres perfiles</w:t>
            </w:r>
          </w:p>
        </w:tc>
        <w:tc>
          <w:tcPr>
            <w:tcW w:type="dxa" w:w="4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Sistema logístico por tipo de producto y política de producto dañado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Que copien diseños / usen fotos sin permiso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Artesana indígena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Protección de propiedad intelectual y sellos de autenticidad (Fase 3)</w:t>
            </w:r>
          </w:p>
        </w:tc>
      </w:tr>
      <w:tr>
        <w:tc>
          <w:tcPr>
            <w:tcW w:type="dxa" w:w="3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Que la comunidad no reciba lo justo</w:t>
            </w:r>
          </w:p>
        </w:tc>
        <w:tc>
          <w:tcPr>
            <w:tcW w:type="dxa" w:w="2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Artesana indígena</w:t>
            </w:r>
          </w:p>
        </w:tc>
        <w:tc>
          <w:tcPr>
            <w:tcW w:type="dxa" w:w="4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Distribución colectiva transparente (tabla splits_comunidad)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Que la aplicación cobre mucho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Agricultor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Comisión justa del 10% comunicada con transparencia</w:t>
            </w:r>
          </w:p>
        </w:tc>
      </w:tr>
      <w:tr>
        <w:tc>
          <w:tcPr>
            <w:tcW w:type="dxa" w:w="3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Que la app no responda ante un problema</w:t>
            </w:r>
          </w:p>
        </w:tc>
        <w:tc>
          <w:tcPr>
            <w:tcW w:type="dxa" w:w="2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Gastronomía</w:t>
            </w:r>
          </w:p>
        </w:tc>
        <w:tc>
          <w:tcPr>
            <w:tcW w:type="dxa" w:w="4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Soporte y rol de Administrador para resolver disputas</w:t>
            </w:r>
          </w:p>
        </w:tc>
      </w:tr>
    </w:tbl>
    <w:p>
      <w:pPr>
        <w:spacing w:after="120"/>
      </w:pPr>
      <w:r>
        <w:t xml:space="preserve"/>
      </w:r>
    </w:p>
    <w:p>
      <w:r>
        <w:br w:type="page"/>
      </w:r>
    </w:p>
    <w:p>
      <w:pPr>
        <w:pStyle w:val="Heading1"/>
      </w:pPr>
      <w:r>
        <w:t xml:space="preserve">4. Ajustes al Diseño (Salidos de la Realidad)</w:t>
      </w:r>
    </w:p>
    <w:p>
      <w:pPr>
        <w:spacing w:after="120"/>
      </w:pPr>
      <w:r>
        <w:t xml:space="preserve">Las entrevistas revelaron tres aprendizajes que modifican o confirman el diseño del producto:</w:t>
      </w:r>
    </w:p>
    <w:p>
      <w:pPr>
        <w:pStyle w:val="Heading2"/>
      </w:pPr>
      <w:r>
        <w:t xml:space="preserve">4.1 Tiempo de alistamiento variable</w:t>
      </w:r>
    </w:p>
    <w:p>
      <w:pPr>
        <w:spacing w:after="120"/>
      </w:pPr>
      <w:r>
        <w:t xml:space="preserve">El agricultor confirmó que el producto no siempre está listo: depende de ir a la finca a recogerlo.</w:t>
      </w:r>
    </w:p>
    <w:p>
      <w:pPr>
        <w:pBdr>
          <w:left w:val="single" w:color="A07840" w:sz="18" w:space="12"/>
        </w:pBdr>
        <w:spacing w:after="120" w:before="120"/>
        <w:ind w:left="360"/>
      </w:pPr>
      <w:r>
        <w:rPr>
          <w:i/>
          <w:iCs/>
          <w:color w:val="555555"/>
        </w:rPr>
        <w:t xml:space="preserve">Si el pedido es pequeño, lo puedo tener listo en un día. Si es grande, necesito dos o tres días.</w:t>
      </w:r>
    </w:p>
    <w:p>
      <w:pPr>
        <w:pStyle w:val="ListParagraph"/>
        <w:numPr>
          <w:ilvl w:val="0"/>
          <w:numId w:val="2"/>
        </w:numPr>
        <w:spacing w:after="60"/>
      </w:pPr>
      <w:r>
        <w:rPr>
          <w:b/>
          <w:bCs/>
        </w:rPr>
        <w:t xml:space="preserve">Decisión de diseño: </w:t>
      </w:r>
      <w:r>
        <w:t xml:space="preserve">cada producto tendrá un campo de tiempo de alistamiento variable. El comprador verá claramente, por ejemplo, “se alista en 1 a 3 días”, gestionando bien la expectativa.</w:t>
      </w:r>
    </w:p>
    <w:p>
      <w:pPr>
        <w:pStyle w:val="Heading2"/>
      </w:pPr>
      <w:r>
        <w:t xml:space="preserve">4.2 Venta local vs. venta nacional</w:t>
      </w:r>
    </w:p>
    <w:p>
      <w:pPr>
        <w:spacing w:after="120"/>
      </w:pPr>
      <w:r>
        <w:t xml:space="preserve">La cocinera distinguió de forma natural qué productos sirven para envío lejano:</w:t>
      </w:r>
    </w:p>
    <w:p>
      <w:pPr>
        <w:pBdr>
          <w:left w:val="single" w:color="A07840" w:sz="18" w:space="12"/>
        </w:pBdr>
        <w:spacing w:after="120" w:before="120"/>
        <w:ind w:left="360"/>
      </w:pPr>
      <w:r>
        <w:rPr>
          <w:i/>
          <w:iCs/>
          <w:color w:val="555555"/>
        </w:rPr>
        <w:t xml:space="preserve">Me gustaría vender a otras ciudades, pero con productos que se puedan empacar bien, como dulces, cocadas o alimentos que no se dañen rápido.</w:t>
      </w:r>
    </w:p>
    <w:p>
      <w:pPr>
        <w:pStyle w:val="ListParagraph"/>
        <w:numPr>
          <w:ilvl w:val="0"/>
          <w:numId w:val="2"/>
        </w:numPr>
        <w:spacing w:after="60"/>
      </w:pPr>
      <w:r>
        <w:rPr>
          <w:b/>
          <w:bCs/>
        </w:rPr>
        <w:t xml:space="preserve">Decisión de diseño: </w:t>
      </w:r>
      <w:r>
        <w:t xml:space="preserve">la plataforma diferenciará entre venta local (productos frescos, entrega el mismo día) y venta nacional (solo productos no perecederos y bien empacables).</w:t>
      </w:r>
    </w:p>
    <w:p>
      <w:pPr>
        <w:pStyle w:val="Heading2"/>
      </w:pPr>
      <w:r>
        <w:t xml:space="preserve">4.3 Distribución colectiva indígena confirmada</w:t>
      </w:r>
    </w:p>
    <w:p>
      <w:pPr>
        <w:spacing w:after="120"/>
      </w:pPr>
      <w:r>
        <w:t xml:space="preserve">La artesana validó el modelo de reparto comunitario que ya estaba previsto:</w:t>
      </w:r>
    </w:p>
    <w:p>
      <w:pPr>
        <w:pBdr>
          <w:left w:val="single" w:color="A07840" w:sz="18" w:space="12"/>
        </w:pBdr>
        <w:spacing w:after="120" w:before="120"/>
        <w:ind w:left="360"/>
      </w:pPr>
      <w:r>
        <w:rPr>
          <w:i/>
          <w:iCs/>
          <w:color w:val="555555"/>
        </w:rPr>
        <w:t xml:space="preserve">Cuando se vende como grupo se aparta una parte para la comunidad, para materiales o transporte.</w:t>
      </w:r>
    </w:p>
    <w:p>
      <w:pPr>
        <w:pStyle w:val="ListParagraph"/>
        <w:numPr>
          <w:ilvl w:val="0"/>
          <w:numId w:val="2"/>
        </w:numPr>
        <w:spacing w:after="60"/>
      </w:pPr>
      <w:r>
        <w:rPr>
          <w:b/>
          <w:bCs/>
        </w:rPr>
        <w:t xml:space="preserve">Confirmación de diseño: </w:t>
      </w:r>
      <w:r>
        <w:t xml:space="preserve">la tabla splits_comunidad y el rol de Comunidad Indígena responden a una práctica real del territorio, no a una suposición.</w:t>
      </w:r>
    </w:p>
    <w:p>
      <w:pPr>
        <w:spacing w:after="120"/>
      </w:pPr>
      <w:r>
        <w:t xml:space="preserve"/>
      </w:r>
    </w:p>
    <w:p>
      <w:pPr>
        <w:pStyle w:val="Heading1"/>
      </w:pPr>
      <w:r>
        <w:t xml:space="preserve">5. Datos Operativos Clave</w:t>
      </w:r>
    </w:p>
    <w:p>
      <w:pPr>
        <w:pStyle w:val="Heading2"/>
      </w:pPr>
      <w:r>
        <w:t xml:space="preserve">5.1 Medios de pago</w:t>
      </w:r>
    </w:p>
    <w:p>
      <w:pPr>
        <w:spacing w:after="120"/>
      </w:pPr>
      <w:r>
        <w:t xml:space="preserve">Todos los entrevistados usan billeteras digitales, lo que valida la estrategia de pagos para zonas con baja bancarización:</w:t>
      </w:r>
    </w:p>
    <w:p>
      <w:pPr>
        <w:pStyle w:val="ListParagraph"/>
        <w:numPr>
          <w:ilvl w:val="0"/>
          <w:numId w:val="2"/>
        </w:numPr>
        <w:spacing w:after="60"/>
      </w:pPr>
      <w:r>
        <w:t xml:space="preserve">Nequi y Daviplata son los medios más usados y preferidos.</w:t>
      </w:r>
    </w:p>
    <w:p>
      <w:pPr>
        <w:pStyle w:val="ListParagraph"/>
        <w:numPr>
          <w:ilvl w:val="0"/>
          <w:numId w:val="2"/>
        </w:numPr>
        <w:spacing w:after="60"/>
      </w:pPr>
      <w:r>
        <w:t xml:space="preserve">Algunas personas de comunidad no tienen cuenta propia; una persona recibe y luego reparte (refuerza el modelo colectivo).</w:t>
      </w:r>
    </w:p>
    <w:p>
      <w:pPr>
        <w:pStyle w:val="Heading2"/>
      </w:pPr>
      <w:r>
        <w:t xml:space="preserve">5.2 Conectividad</w:t>
      </w:r>
    </w:p>
    <w:p>
      <w:pPr>
        <w:spacing w:after="120"/>
      </w:pPr>
      <w:r>
        <w:t xml:space="preserve">La señal de internet es intermitente en el territorio, un factor crítico para el diseño técnico:</w:t>
      </w:r>
    </w:p>
    <w:p>
      <w:pPr>
        <w:pBdr>
          <w:left w:val="single" w:color="A07840" w:sz="18" w:space="12"/>
        </w:pBdr>
        <w:spacing w:after="120" w:before="120"/>
        <w:ind w:left="360"/>
      </w:pPr>
      <w:r>
        <w:rPr>
          <w:i/>
          <w:iCs/>
          <w:color w:val="555555"/>
        </w:rPr>
        <w:t xml:space="preserve">Uso WhatsApp, pero no todo el tiempo hay buena señal. A veces envío fotos cuando estoy en una zona con internet.</w:t>
      </w:r>
    </w:p>
    <w:p>
      <w:pPr>
        <w:pStyle w:val="ListParagraph"/>
        <w:numPr>
          <w:ilvl w:val="0"/>
          <w:numId w:val="2"/>
        </w:numPr>
        <w:spacing w:after="60"/>
      </w:pPr>
      <w:r>
        <w:rPr>
          <w:b/>
          <w:bCs/>
        </w:rPr>
        <w:t xml:space="preserve">Decisión técnica: </w:t>
      </w:r>
      <w:r>
        <w:t xml:space="preserve">la aplicación debe funcionar en modo offline-first, permitiendo cargar productos y sincronizar cuando haya señal. Esto ya estaba previsto y queda confirmado como prioridad.</w:t>
      </w:r>
    </w:p>
    <w:p>
      <w:pPr>
        <w:spacing w:after="120"/>
      </w:pPr>
      <w:r>
        <w:t xml:space="preserve"/>
      </w:r>
    </w:p>
    <w:p>
      <w:pPr>
        <w:pStyle w:val="Heading1"/>
      </w:pPr>
      <w:r>
        <w:t xml:space="preserve">6. Capacidad Productiva Estimada</w:t>
      </w:r>
    </w:p>
    <w:p>
      <w:pPr>
        <w:spacing w:after="120"/>
      </w:pPr>
      <w:r>
        <w:t xml:space="preserve">Las entrevistas dan una primera idea del volumen que la plataforma manejaría por vendedor: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Perfil</w:t>
            </w:r>
          </w:p>
        </w:tc>
        <w:tc>
          <w:tcPr>
            <w:tcW w:type="dxa" w:w="6360"/>
            <w:tcBorders>
              <w:top w:val="single" w:color="CCCCCC" w:sz="1"/>
              <w:left w:val="single" w:color="CCCCCC" w:sz="1"/>
              <w:bottom w:val="single" w:color="CCCCCC" w:sz="1"/>
              <w:right w:val="single" w:color="CCCCCC" w:sz="1"/>
            </w:tcBorders>
            <w:shd w:fill="2D5A2D" w:val="clear"/>
            <w:tcMar>
              <w:top w:type="dxa" w:w="80"/>
              <w:left w:type="dxa" w:w="120"/>
              <w:bottom w:type="dxa" w:w="80"/>
              <w:right w:type="dxa" w:w="120"/>
            </w:tcMar>
          </w:tcPr>
          <w:p>
            <w:pPr>
              <w:jc w:val="left"/>
            </w:pPr>
            <w:r>
              <w:rPr>
                <w:b/>
                <w:bCs/>
                <w:i w:val="false"/>
                <w:iCs w:val="false"/>
                <w:color w:val="FFFFFF"/>
              </w:rPr>
              <w:t xml:space="preserve">Capacidad declarada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Agricultor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30-40 racimos de plátano y 80-120 kg de yuca por semana</w:t>
            </w:r>
          </w:p>
        </w:tc>
      </w:tr>
      <w:tr>
        <w:tc>
          <w:tcPr>
            <w:tcW w:type="dxa" w:w="3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Artesana</w:t>
            </w:r>
          </w:p>
        </w:tc>
        <w:tc>
          <w:tcPr>
            <w:tcW w:type="dxa" w:w="63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pPr>
              <w:jc w:val="left"/>
            </w:pPr>
            <w:r>
              <w:rPr>
                <w:b w:val="false"/>
                <w:bCs w:val="false"/>
                <w:i w:val="false"/>
                <w:iCs w:val="false"/>
                <w:color w:val="000000"/>
              </w:rPr>
              <w:t xml:space="preserve">8-12 piezas medianas al mes (1 día una manilla, hasta 1 semana un canasto)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Gastronomía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i w:val="false"/>
                <w:iCs w:val="false"/>
                <w:color w:val="000000"/>
              </w:rPr>
              <w:t xml:space="preserve">10-20 pedidos en un día normal, más con anticipación</w:t>
            </w:r>
          </w:p>
        </w:tc>
      </w:tr>
    </w:tbl>
    <w:p>
      <w:pPr>
        <w:spacing w:after="120"/>
      </w:pPr>
      <w:r>
        <w:t xml:space="preserve"/>
      </w:r>
    </w:p>
    <w:p>
      <w:pPr>
        <w:spacing w:after="120"/>
      </w:pPr>
      <w:r>
        <w:t xml:space="preserve">Estos datos servirán para dimensionar el inventario inicial y proyectar el volumen de la fase piloto.</w:t>
      </w:r>
    </w:p>
    <w:p>
      <w:pPr>
        <w:pStyle w:val="Heading1"/>
      </w:pPr>
      <w:r>
        <w:t xml:space="preserve">7. Próximos Pasos Recomendados</w:t>
      </w:r>
    </w:p>
    <w:p>
      <w:pPr>
        <w:pStyle w:val="ListParagraph"/>
        <w:numPr>
          <w:ilvl w:val="0"/>
          <w:numId w:val="2"/>
        </w:numPr>
        <w:spacing w:after="60"/>
      </w:pPr>
      <w:r>
        <w:t xml:space="preserve">Incorporar el campo de tiempo de alistamiento variable al diseño de productos.</w:t>
      </w:r>
    </w:p>
    <w:p>
      <w:pPr>
        <w:pStyle w:val="ListParagraph"/>
        <w:numPr>
          <w:ilvl w:val="0"/>
          <w:numId w:val="2"/>
        </w:numPr>
        <w:spacing w:after="60"/>
      </w:pPr>
      <w:r>
        <w:t xml:space="preserve">Diferenciar venta local y venta nacional en el catálogo.</w:t>
      </w:r>
    </w:p>
    <w:p>
      <w:pPr>
        <w:pStyle w:val="ListParagraph"/>
        <w:numPr>
          <w:ilvl w:val="0"/>
          <w:numId w:val="2"/>
        </w:numPr>
        <w:spacing w:after="60"/>
      </w:pPr>
      <w:r>
        <w:t xml:space="preserve">Definir una política clara de producto dañado y de garantía de pago.</w:t>
      </w:r>
    </w:p>
    <w:p>
      <w:pPr>
        <w:pStyle w:val="ListParagraph"/>
        <w:numPr>
          <w:ilvl w:val="0"/>
          <w:numId w:val="2"/>
        </w:numPr>
        <w:spacing w:after="60"/>
      </w:pPr>
      <w:r>
        <w:t xml:space="preserve">Preparar la presentación formal del proyecto al consejo comunitario.</w:t>
      </w:r>
    </w:p>
    <w:p>
      <w:pPr>
        <w:pStyle w:val="ListParagraph"/>
        <w:numPr>
          <w:ilvl w:val="0"/>
          <w:numId w:val="2"/>
        </w:numPr>
        <w:spacing w:after="60"/>
      </w:pPr>
      <w:r>
        <w:t xml:space="preserve">Ampliar el levantamiento a más productores (meta: 8-10 personas por perfil) para robustecer los datos.</w:t>
      </w:r>
    </w:p>
    <w:p>
      <w:pPr>
        <w:spacing w:after="120"/>
      </w:pPr>
      <w:r>
        <w:t xml:space="preserve"/>
      </w:r>
    </w:p>
    <w:p>
      <w:pPr>
        <w:spacing w:before="360"/>
        <w:jc w:val="center"/>
      </w:pPr>
      <w:r>
        <w:rPr>
          <w:i/>
          <w:iCs/>
          <w:color w:val="555555"/>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7840" w:sz="6" w:space="6"/>
      </w:pBdr>
      <w:jc w:val="right"/>
    </w:pPr>
    <w:r>
      <w:rPr>
        <w:color w:val="555555"/>
        <w:sz w:val="18"/>
        <w:szCs w:val="18"/>
      </w:rPr>
      <w:t xml:space="preserve">AfroMercado · Hallazgos de Campo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5A2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A078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Hallazgos de Campo AfroMercado</dc:title>
  <dc:creator>AfroMercado</dc:creator>
  <cp:lastModifiedBy>Un-named</cp:lastModifiedBy>
  <cp:revision>1</cp:revision>
  <dcterms:created xsi:type="dcterms:W3CDTF">2026-06-13T22:46:09.259Z</dcterms:created>
  <dcterms:modified xsi:type="dcterms:W3CDTF">2026-06-13T22:46:09.271Z</dcterms:modified>
</cp:coreProperties>
</file>

<file path=docProps/custom.xml><?xml version="1.0" encoding="utf-8"?>
<Properties xmlns="http://schemas.openxmlformats.org/officeDocument/2006/custom-properties" xmlns:vt="http://schemas.openxmlformats.org/officeDocument/2006/docPropsVTypes"/>
</file>