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Output Summary</w:t>
      </w:r>
    </w:p>
    <w:p>
      <w:r>
        <w:rPr>
          <w:rFonts w:ascii="Calibri" w:hAnsi="Calibri"/>
          <w:sz w:val="24"/>
        </w:rPr>
        <w:t>This document presents the complete output of the ML-assisted intraday trading project. It consolidates strategy performance, regime analysis, and risk behavior using visualizations and concise interpretations.</w:t>
      </w:r>
    </w:p>
    <w:p>
      <w:pPr>
        <w:pStyle w:val="Heading2"/>
      </w:pPr>
      <w:r>
        <w:t>Baseline Strategy Performance</w:t>
      </w:r>
    </w:p>
    <w:p>
      <w:r>
        <w:rPr>
          <w:rFonts w:ascii="Calibri" w:hAnsi="Calibri"/>
          <w:sz w:val="24"/>
        </w:rPr>
        <w:t>The baseline EMA strategy captures trending movements but exhibits sensitivity to market noise. Performance deteriorates during sideways regimes, making it a suitable benchmark rather than a final system.</w:t>
      </w:r>
    </w:p>
    <w:p>
      <w:r>
        <w:drawing>
          <wp:inline xmlns:a="http://schemas.openxmlformats.org/drawingml/2006/main" xmlns:pic="http://schemas.openxmlformats.org/drawingml/2006/picture">
            <wp:extent cx="5029200" cy="2945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281a5b-be82-44c3-892a-52ede5e2034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Baseline vs ML-Filtered Strategy</w:t>
      </w:r>
    </w:p>
    <w:p>
      <w:r>
        <w:rPr>
          <w:rFonts w:ascii="Calibri" w:hAnsi="Calibri"/>
          <w:sz w:val="24"/>
        </w:rPr>
        <w:t>Machine learning is applied as a trade filtering layer. The filtered strategy shows smoother equity behavior by avoiding low-quality trades during unstable conditions.</w:t>
      </w:r>
    </w:p>
    <w:p>
      <w:r>
        <w:drawing>
          <wp:inline xmlns:a="http://schemas.openxmlformats.org/drawingml/2006/main" xmlns:pic="http://schemas.openxmlformats.org/drawingml/2006/picture">
            <wp:extent cx="5029200" cy="3027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6b721-4411-4425-91bb-e42c296e6d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Baseline vs ML vs HMM Strategies</w:t>
      </w:r>
    </w:p>
    <w:p>
      <w:r>
        <w:rPr>
          <w:rFonts w:ascii="Calibri" w:hAnsi="Calibri"/>
          <w:sz w:val="24"/>
        </w:rPr>
        <w:t>Introducing regime awareness further stabilizes performance. The regime-filtered strategy demonstrates reduced drawdowns and more consistent equity progression.</w:t>
      </w:r>
    </w:p>
    <w:p>
      <w:r>
        <w:drawing>
          <wp:inline xmlns:a="http://schemas.openxmlformats.org/drawingml/2006/main" xmlns:pic="http://schemas.openxmlformats.org/drawingml/2006/picture">
            <wp:extent cx="5029200" cy="2807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11a4ac-d236-4a5d-a806-d3a2910ecc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Regime-Filtered Strategy Performance</w:t>
      </w:r>
    </w:p>
    <w:p>
      <w:r>
        <w:rPr>
          <w:rFonts w:ascii="Calibri" w:hAnsi="Calibri"/>
          <w:sz w:val="24"/>
        </w:rPr>
        <w:t>Trading conditioned on market regimes improves robustness by aligning strategy behavior with prevailing market structure.</w:t>
      </w:r>
    </w:p>
    <w:p>
      <w:r>
        <w:drawing>
          <wp:inline xmlns:a="http://schemas.openxmlformats.org/drawingml/2006/main" xmlns:pic="http://schemas.openxmlformats.org/drawingml/2006/picture">
            <wp:extent cx="5029200" cy="28967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93ee96-a23b-46b0-bb51-8ee8354e95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Market Regime Classification</w:t>
      </w:r>
    </w:p>
    <w:p>
      <w:r>
        <w:rPr>
          <w:rFonts w:ascii="Calibri" w:hAnsi="Calibri"/>
          <w:sz w:val="24"/>
        </w:rPr>
        <w:t>Market states are classified into uptrend, downtrend, and sideways regimes. These classifications align closely with observed price action.</w:t>
      </w:r>
    </w:p>
    <w:p>
      <w:r>
        <w:drawing>
          <wp:inline xmlns:a="http://schemas.openxmlformats.org/drawingml/2006/main" xmlns:pic="http://schemas.openxmlformats.org/drawingml/2006/picture">
            <wp:extent cx="5029200" cy="2381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eaae79-85f1-4fe0-8a34-3899d54e697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Regime Transition Analysis</w:t>
      </w:r>
    </w:p>
    <w:p>
      <w:r>
        <w:rPr>
          <w:rFonts w:ascii="Calibri" w:hAnsi="Calibri"/>
          <w:sz w:val="24"/>
        </w:rPr>
        <w:t>The transition matrix shows strong regime persistence, indicating that market states tend to continue over short horizons.</w:t>
      </w:r>
    </w:p>
    <w:p>
      <w:r>
        <w:drawing>
          <wp:inline xmlns:a="http://schemas.openxmlformats.org/drawingml/2006/main" xmlns:pic="http://schemas.openxmlformats.org/drawingml/2006/picture">
            <wp:extent cx="5029200" cy="36772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c439e6-ca50-49a8-a334-780c03fc73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Outlier Trade Analysis</w:t>
      </w:r>
    </w:p>
    <w:p>
      <w:r>
        <w:rPr>
          <w:rFonts w:ascii="Calibri" w:hAnsi="Calibri"/>
          <w:sz w:val="24"/>
        </w:rPr>
        <w:t>A small number of extreme trades contribute disproportionately to gains and losses. Identifying these outliers helps explain overall risk behavior.</w:t>
      </w:r>
    </w:p>
    <w:p>
      <w:r>
        <w:drawing>
          <wp:inline xmlns:a="http://schemas.openxmlformats.org/drawingml/2006/main" xmlns:pic="http://schemas.openxmlformats.org/drawingml/2006/picture">
            <wp:extent cx="5029200" cy="27650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d7bfb8-3183-4a39-af5d-5b2d9040489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50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