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TERRA</w:t>
      </w:r>
    </w:p>
    <w:p>
      <w:pPr>
        <w:jc w:val="center"/>
      </w:pPr>
      <w:r>
        <w:rPr>
          <w:b w:val="0"/>
          <w:sz w:val="34"/>
        </w:rPr>
        <w:t>AI-Assisted Crop Recommendation and Market Price Planning</w:t>
      </w:r>
    </w:p>
    <w:p>
      <w:pPr>
        <w:jc w:val="center"/>
      </w:pPr>
      <w:r>
        <w:rPr>
          <w:b w:val="0"/>
          <w:sz w:val="26"/>
        </w:rPr>
        <w:t>Project Assessment 2: Core Implementation &amp; Validation</w:t>
      </w:r>
    </w:p>
    <w:p>
      <w:pPr>
        <w:jc w:val="center"/>
      </w:pPr>
      <w:r>
        <w:rPr>
          <w:b w:val="0"/>
        </w:rPr>
      </w:r>
      <w:r>
        <w:rPr>
          <w:b/>
        </w:rPr>
        <w:t>Event:</w:t>
      </w:r>
      <w:r>
        <w:rPr>
          <w:b w:val="0"/>
        </w:rPr>
        <w:t xml:space="preserve"> PySustain-2026 — Code for a Sustainable Tomorrow</w:t>
      </w:r>
    </w:p>
    <w:p>
      <w:pPr>
        <w:jc w:val="center"/>
      </w:pPr>
      <w:r>
        <w:rPr>
          <w:b w:val="0"/>
        </w:rPr>
      </w:r>
      <w:r>
        <w:rPr>
          <w:b/>
        </w:rPr>
        <w:t>Course:</w:t>
      </w:r>
      <w:r>
        <w:rPr>
          <w:b w:val="0"/>
        </w:rPr>
        <w:t xml:space="preserve"> BACSE101 — Problem Solving using Python</w:t>
      </w:r>
    </w:p>
    <w:p>
      <w:pPr>
        <w:jc w:val="center"/>
      </w:pPr>
      <w:r>
        <w:rPr>
          <w:b w:val="0"/>
        </w:rPr>
      </w:r>
      <w:r>
        <w:rPr>
          <w:b/>
        </w:rPr>
        <w:t>Track:</w:t>
      </w:r>
      <w:r>
        <w:rPr>
          <w:b w:val="0"/>
        </w:rPr>
        <w:t xml:space="preserve"> Intelligent Solutions for Sustainable Agriculture</w:t>
      </w:r>
    </w:p>
    <w:p>
      <w:pPr>
        <w:jc w:val="center"/>
      </w:pPr>
      <w:r>
        <w:rPr>
          <w:b w:val="0"/>
        </w:rPr>
      </w:r>
      <w:r>
        <w:rPr>
          <w:b/>
        </w:rPr>
        <w:t>Submission date:</w:t>
      </w:r>
      <w:r>
        <w:rPr>
          <w:b w:val="0"/>
        </w:rPr>
        <w:t xml:space="preserve"> 11 October 2026</w:t>
      </w:r>
    </w:p>
    <w:p>
      <w:pPr>
        <w:jc w:val="center"/>
      </w:pPr>
      <w:r>
        <w:rPr>
          <w:b w:val="0"/>
        </w:rPr>
      </w:r>
      <w:r>
        <w:rPr>
          <w:b/>
        </w:rPr>
        <w:t>Repository:</w:t>
      </w:r>
      <w:r>
        <w:rPr>
          <w:b w:val="0"/>
        </w:rPr>
        <w:t xml:space="preserve"> https://github.com/ravikumar24011970/Crop-recommendation-system</w:t>
      </w:r>
    </w:p>
    <w:p>
      <w:pPr>
        <w:jc w:val="center"/>
      </w:pPr>
      <w:r>
        <w:rPr>
          <w:b w:val="0"/>
        </w:rPr>
      </w:r>
      <w:r>
        <w:rPr>
          <w:b/>
        </w:rPr>
        <w:t>Implementation snapshot:</w:t>
      </w:r>
      <w:r>
        <w:rPr>
          <w:b w:val="0"/>
        </w:rPr>
        <w:t xml:space="preserve"> Git commit 06b1aa6</w:t>
      </w:r>
    </w:p>
    <w:p>
      <w:r>
        <w:br w:type="page"/>
      </w:r>
    </w:p>
    <w:p>
      <w:pPr>
        <w:pStyle w:val="Heading1"/>
      </w:pPr>
      <w:r>
        <w:t>Abstract</w:t>
      </w:r>
    </w:p>
    <w:p>
      <w:r>
        <w:rPr>
          <w:b w:val="0"/>
        </w:rPr>
        <w:t>Terra is a Python-based decision-support application for crop selection and farm planning. It implements supervised multiclass classification using Random Forest and XGBoost on a crop recommendation dataset containing 2,200 samples, seven soil/climate features, and 22 crop labels. The application validates farmer inputs, loads reproducibly trained models, presents crop scores, and compares the two algorithms. A separate market-planning module supports Agmarknet reports obtained through data.gov.in or user-supplied CSV exports, with a market-price workflow supporting the 22 crop categories. It converts supported price units, records report provenance, and calculates estimated profit from user-entered yield and cost assumptions. Training, validation, and test data are separated; final models achieve 99.32% and 98.86% held-out test accuracy respectively. The implementation has 66 passing automated tests and browser checks. Official live API access remains unresolved because network connections failed; missing crop prices are therefore marked unavailable rather than replaced with artificial values. This report documents the design methodology and implemented Python pipeline required for Assessment 2.</w:t>
      </w:r>
    </w:p>
    <w:p>
      <w:pPr>
        <w:pStyle w:val="Heading1"/>
      </w:pPr>
      <w:r>
        <w:t>1. Assessment Scope and Project Objectives</w:t>
      </w:r>
    </w:p>
    <w:p>
      <w:r>
        <w:rPr>
          <w:b w:val="0"/>
        </w:rPr>
        <w:t>The supplied assessment specifies two equally weighted components: Design / Simulation Methodology (5 marks) and Implementation (5 marks). This report addresses architecture, algorithm selection, preprocessing, feature handling, validation, modular Python code, and an execution demonstration. Quantitative results are included as implementation validation; no field trial or measured environmental-impact claim is made.</w:t>
      </w:r>
    </w:p>
    <w:p>
      <w:r>
        <w:rPr>
          <w:b w:val="0"/>
        </w:rPr>
        <w:t>The project objectives are to implement a reproducible crop classifier; compare Random Forest and XGBoost using independent validation and test sets; provide an accessible interface for seven agricultural measurements; integrate reported market prices with transparent financial calculations; and support crop market-price reporting without fabricating missing observations.</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60"/>
            </w:pPr>
            <w:r>
              <w:rPr>
                <w:b w:val="0"/>
                <w:sz w:val="18"/>
              </w:rPr>
            </w:r>
            <w:r>
              <w:rPr>
                <w:b/>
                <w:sz w:val="18"/>
              </w:rPr>
              <w:t>Assessment component</w:t>
            </w:r>
            <w:r>
              <w:rPr>
                <w:b w:val="0"/>
                <w:sz w:val="18"/>
              </w:rPr>
            </w:r>
          </w:p>
        </w:tc>
        <w:tc>
          <w:tcPr>
            <w:tcW w:type="dxa" w:w="3216"/>
          </w:tcPr>
          <w:p>
            <w:pPr>
              <w:spacing w:after="60"/>
            </w:pPr>
            <w:r>
              <w:rPr>
                <w:b w:val="0"/>
                <w:sz w:val="18"/>
              </w:rPr>
            </w:r>
            <w:r>
              <w:rPr>
                <w:b/>
                <w:sz w:val="18"/>
              </w:rPr>
              <w:t>Implementation evidence</w:t>
            </w:r>
            <w:r>
              <w:rPr>
                <w:b w:val="0"/>
                <w:sz w:val="18"/>
              </w:rPr>
            </w:r>
          </w:p>
        </w:tc>
        <w:tc>
          <w:tcPr>
            <w:tcW w:type="dxa" w:w="3216"/>
          </w:tcPr>
          <w:p>
            <w:pPr>
              <w:spacing w:after="60"/>
            </w:pPr>
            <w:r>
              <w:rPr>
                <w:b w:val="0"/>
                <w:sz w:val="18"/>
              </w:rPr>
            </w:r>
            <w:r>
              <w:rPr>
                <w:b/>
                <w:sz w:val="18"/>
              </w:rPr>
              <w:t>Report sections</w:t>
            </w:r>
            <w:r>
              <w:rPr>
                <w:b w:val="0"/>
                <w:sz w:val="18"/>
              </w:rPr>
            </w:r>
          </w:p>
        </w:tc>
      </w:tr>
      <w:tr>
        <w:tc>
          <w:tcPr>
            <w:tcW w:type="dxa" w:w="3216"/>
          </w:tcPr>
          <w:p>
            <w:pPr>
              <w:spacing w:after="60"/>
            </w:pPr>
            <w:r>
              <w:rPr>
                <w:b w:val="0"/>
                <w:sz w:val="18"/>
              </w:rPr>
              <w:t>Design / Simulation Methodology — 5 marks</w:t>
            </w:r>
          </w:p>
        </w:tc>
        <w:tc>
          <w:tcPr>
            <w:tcW w:type="dxa" w:w="3216"/>
          </w:tcPr>
          <w:p>
            <w:pPr>
              <w:spacing w:after="60"/>
            </w:pPr>
            <w:r>
              <w:rPr>
                <w:b w:val="0"/>
                <w:sz w:val="18"/>
              </w:rPr>
              <w:t>Architecture, algorithm rationale, preprocessing, derived planning values, data split and selection</w:t>
            </w:r>
          </w:p>
        </w:tc>
        <w:tc>
          <w:tcPr>
            <w:tcW w:type="dxa" w:w="3216"/>
          </w:tcPr>
          <w:p>
            <w:pPr>
              <w:spacing w:after="60"/>
            </w:pPr>
            <w:r>
              <w:rPr>
                <w:b w:val="0"/>
                <w:sz w:val="18"/>
              </w:rPr>
              <w:t>Sections 2–6</w:t>
            </w:r>
          </w:p>
        </w:tc>
      </w:tr>
      <w:tr>
        <w:tc>
          <w:tcPr>
            <w:tcW w:type="dxa" w:w="3216"/>
          </w:tcPr>
          <w:p>
            <w:pPr>
              <w:spacing w:after="60"/>
            </w:pPr>
            <w:r>
              <w:rPr>
                <w:b w:val="0"/>
                <w:sz w:val="18"/>
              </w:rPr>
              <w:t>Implementation — 5 marks</w:t>
            </w:r>
          </w:p>
        </w:tc>
        <w:tc>
          <w:tcPr>
            <w:tcW w:type="dxa" w:w="3216"/>
          </w:tcPr>
          <w:p>
            <w:pPr>
              <w:spacing w:after="60"/>
            </w:pPr>
            <w:r>
              <w:rPr>
                <w:b w:val="0"/>
                <w:sz w:val="18"/>
              </w:rPr>
              <w:t>Modular Python files, frontend, price processing, execution steps and tests</w:t>
            </w:r>
          </w:p>
        </w:tc>
        <w:tc>
          <w:tcPr>
            <w:tcW w:type="dxa" w:w="3216"/>
          </w:tcPr>
          <w:p>
            <w:pPr>
              <w:spacing w:after="60"/>
            </w:pPr>
            <w:r>
              <w:rPr>
                <w:b w:val="0"/>
                <w:sz w:val="18"/>
              </w:rPr>
              <w:t>Sections 7–10</w:t>
            </w:r>
          </w:p>
        </w:tc>
      </w:tr>
    </w:tbl>
    <w:p/>
    <w:p>
      <w:pPr>
        <w:pStyle w:val="Heading1"/>
      </w:pPr>
      <w:r>
        <w:t>2. Problem Definition and Operational Scope</w:t>
      </w:r>
    </w:p>
    <w:p>
      <w:r>
        <w:rPr>
          <w:b w:val="0"/>
        </w:rPr>
        <w:t>Crop selection involves soil nutrient conditions, climate suitability, available resources, and farm economics. Choosing solely on selling price can overlook agronomic suitability; choosing solely on suitability omits financial considerations. Terra separates these concerns: a classifier proposes candidate crops, while a planning layer compares reported prices, assumed yields, costs, and water cautions.</w:t>
      </w:r>
    </w:p>
    <w:p>
      <w:r>
        <w:rPr>
          <w:b w:val="0"/>
        </w:rPr>
        <w:t>The current scope covers 22 dataset crop classes and seven numerical measurements. Market prices are handled separately from the crop classifier and do not change its training data. Inputs such as season, geography, pest pressure, soil texture, and crop history are not included in model training. Recommendations are decision-support outputs requiring local agricultural interpretation.</w:t>
      </w:r>
    </w:p>
    <w:p>
      <w:pPr>
        <w:pStyle w:val="Heading1"/>
      </w:pPr>
      <w:r>
        <w:t>3. System Architecture and Framework</w:t>
      </w:r>
    </w:p>
    <w:p>
      <w:r>
        <w:rPr>
          <w:b w:val="0"/>
        </w:rPr>
        <w:t>The application uses HTML/CSS and JavaScript for the browser interface, Flask for Python request handling, pandas/NumPy for data processing, scikit-learn and XGBoost for classification, and joblib for model persistence. GitHub stores the source and trained artifacts. Gunicorn provides the production server for a Render deployment; deployment instructions are implemented, but successful public deployment is not independently verified in this report.</w:t>
      </w:r>
    </w:p>
    <w:p>
      <w:r>
        <w:drawing>
          <wp:inline xmlns:a="http://schemas.openxmlformats.org/drawingml/2006/main" xmlns:pic="http://schemas.openxmlformats.org/drawingml/2006/picture">
            <wp:extent cx="5852160" cy="2414528"/>
            <wp:docPr id="1" name="Picture 1"/>
            <wp:cNvGraphicFramePr>
              <a:graphicFrameLocks noChangeAspect="1"/>
            </wp:cNvGraphicFramePr>
            <a:graphic>
              <a:graphicData uri="http://schemas.openxmlformats.org/drawingml/2006/picture">
                <pic:pic>
                  <pic:nvPicPr>
                    <pic:cNvPr id="0" name="Terra_Architecture.png"/>
                    <pic:cNvPicPr/>
                  </pic:nvPicPr>
                  <pic:blipFill>
                    <a:blip r:embed="rId11"/>
                    <a:stretch>
                      <a:fillRect/>
                    </a:stretch>
                  </pic:blipFill>
                  <pic:spPr>
                    <a:xfrm>
                      <a:off x="0" y="0"/>
                      <a:ext cx="5852160" cy="2414528"/>
                    </a:xfrm>
                    <a:prstGeom prst="rect"/>
                  </pic:spPr>
                </pic:pic>
              </a:graphicData>
            </a:graphic>
          </wp:inline>
        </w:drawing>
      </w:r>
    </w:p>
    <w:p>
      <w:pPr>
        <w:jc w:val="center"/>
      </w:pPr>
      <w:r>
        <w:t>Figure 1. Training, inference and market-planning architecture.</w:t>
      </w:r>
    </w:p>
    <w:p>
      <w:r>
        <w:rPr>
          <w:b w:val="0"/>
        </w:rPr>
      </w:r>
      <w:r>
        <w:rPr>
          <w:b/>
        </w:rPr>
        <w:t>Training flow:</w:t>
      </w:r>
      <w:r>
        <w:rPr>
          <w:b w:val="0"/>
        </w:rPr>
        <w:t xml:space="preserve"> CSV dataset → schema and integrity checks → label encoding → stratified data split → train both algorithms → validation-based model selection → refit on training plus validation → held-out testing → save models and metrics.</w:t>
      </w:r>
    </w:p>
    <w:p>
      <w:r>
        <w:rPr>
          <w:b w:val="0"/>
        </w:rPr>
      </w:r>
      <w:r>
        <w:rPr>
          <w:b/>
        </w:rPr>
        <w:t>Application flow:</w:t>
      </w:r>
      <w:r>
        <w:rPr>
          <w:b w:val="0"/>
        </w:rPr>
        <w:t xml:space="preserve"> browser measurements → Flask validation → loaded model inference → crop candidate filtering → optional market/profit ranking → JSON response → results and report download.</w:t>
      </w:r>
    </w:p>
    <w:p>
      <w:r>
        <w:rPr>
          <w:b w:val="0"/>
        </w:rPr>
      </w:r>
      <w:r>
        <w:rPr>
          <w:b/>
        </w:rPr>
        <w:t>Price flow:</w:t>
      </w:r>
      <w:r>
        <w:rPr>
          <w:b w:val="0"/>
        </w:rPr>
        <w:t xml:space="preserve"> data.gov.in API or CSV export → validate location, commodity, date, units and prices → convert INR/quintal to INR/kg → retain source metadata → select a report → use its server-registered price in financial calculations.</w:t>
      </w:r>
    </w:p>
    <w:p>
      <w:r>
        <w:rPr>
          <w:b w:val="0"/>
        </w:rPr>
        <w:t>Training and inference are separate. The application does not retrain when a farmer submits a form. Its model bundle is loaded once per application process and reused.</w:t>
      </w:r>
    </w:p>
    <w:p>
      <w:pPr>
        <w:pStyle w:val="Heading1"/>
      </w:pPr>
      <w:r>
        <w:t>4. Dataset, Preprocessing and Feature Handling</w:t>
      </w:r>
    </w:p>
    <w:p>
      <w:r>
        <w:rPr>
          <w:b w:val="0"/>
        </w:rPr>
        <w:t>The Crop Recommendation Dataset associated with Kaggle was obtained through the public Harvestify mirror. The bundled CSV contains 2,200 records: 100 for each of 22 crop labels. The original Kaggle endpoint was inaccessible during development, so direct file equivalence and current redistribution terms were not independently verified. The source URL and downloaded-file checksum are recorded in data/README.md.</w:t>
      </w:r>
    </w:p>
    <w:tbl>
      <w:tblPr>
        <w:tblStyle w:val="TableGrid"/>
        <w:tblW w:type="auto" w:w="0"/>
        <w:tblLook w:firstColumn="1" w:firstRow="1" w:lastColumn="0" w:lastRow="0" w:noHBand="0" w:noVBand="1" w:val="04A0"/>
      </w:tblPr>
      <w:tblGrid>
        <w:gridCol w:w="3216"/>
        <w:gridCol w:w="3216"/>
        <w:gridCol w:w="3216"/>
      </w:tblGrid>
      <w:tr>
        <w:tc>
          <w:tcPr>
            <w:tcW w:type="dxa" w:w="3216"/>
          </w:tcPr>
          <w:p>
            <w:pPr>
              <w:spacing w:after="60"/>
            </w:pPr>
            <w:r>
              <w:rPr>
                <w:b w:val="0"/>
                <w:sz w:val="18"/>
              </w:rPr>
            </w:r>
            <w:r>
              <w:rPr>
                <w:b/>
                <w:sz w:val="18"/>
              </w:rPr>
              <w:t>Feature</w:t>
            </w:r>
            <w:r>
              <w:rPr>
                <w:b w:val="0"/>
                <w:sz w:val="18"/>
              </w:rPr>
            </w:r>
          </w:p>
        </w:tc>
        <w:tc>
          <w:tcPr>
            <w:tcW w:type="dxa" w:w="3216"/>
          </w:tcPr>
          <w:p>
            <w:pPr>
              <w:spacing w:after="60"/>
            </w:pPr>
            <w:r>
              <w:rPr>
                <w:b w:val="0"/>
                <w:sz w:val="18"/>
              </w:rPr>
            </w:r>
            <w:r>
              <w:rPr>
                <w:b/>
                <w:sz w:val="18"/>
              </w:rPr>
              <w:t>Meaning / displayed unit</w:t>
            </w:r>
            <w:r>
              <w:rPr>
                <w:b w:val="0"/>
                <w:sz w:val="18"/>
              </w:rPr>
            </w:r>
          </w:p>
        </w:tc>
        <w:tc>
          <w:tcPr>
            <w:tcW w:type="dxa" w:w="3216"/>
          </w:tcPr>
          <w:p>
            <w:pPr>
              <w:spacing w:after="60"/>
            </w:pPr>
            <w:r>
              <w:rPr>
                <w:b w:val="0"/>
                <w:sz w:val="18"/>
              </w:rPr>
            </w:r>
            <w:r>
              <w:rPr>
                <w:b/>
                <w:sz w:val="18"/>
              </w:rPr>
              <w:t>Application validation range</w:t>
            </w:r>
            <w:r>
              <w:rPr>
                <w:b w:val="0"/>
                <w:sz w:val="18"/>
              </w:rPr>
            </w:r>
          </w:p>
        </w:tc>
      </w:tr>
      <w:tr>
        <w:tc>
          <w:tcPr>
            <w:tcW w:type="dxa" w:w="3216"/>
          </w:tcPr>
          <w:p>
            <w:pPr>
              <w:spacing w:after="60"/>
            </w:pPr>
            <w:r>
              <w:rPr>
                <w:b w:val="0"/>
                <w:sz w:val="18"/>
              </w:rPr>
              <w:t>N</w:t>
            </w:r>
          </w:p>
        </w:tc>
        <w:tc>
          <w:tcPr>
            <w:tcW w:type="dxa" w:w="3216"/>
          </w:tcPr>
          <w:p>
            <w:pPr>
              <w:spacing w:after="60"/>
            </w:pPr>
            <w:r>
              <w:rPr>
                <w:b w:val="0"/>
                <w:sz w:val="18"/>
              </w:rPr>
              <w:t>Dataset nitrogen measurement</w:t>
            </w:r>
          </w:p>
        </w:tc>
        <w:tc>
          <w:tcPr>
            <w:tcW w:type="dxa" w:w="3216"/>
          </w:tcPr>
          <w:p>
            <w:pPr>
              <w:spacing w:after="60"/>
            </w:pPr>
            <w:r>
              <w:rPr>
                <w:b w:val="0"/>
                <w:sz w:val="18"/>
              </w:rPr>
              <w:t>0–300</w:t>
            </w:r>
          </w:p>
        </w:tc>
      </w:tr>
      <w:tr>
        <w:tc>
          <w:tcPr>
            <w:tcW w:type="dxa" w:w="3216"/>
          </w:tcPr>
          <w:p>
            <w:pPr>
              <w:spacing w:after="60"/>
            </w:pPr>
            <w:r>
              <w:rPr>
                <w:b w:val="0"/>
                <w:sz w:val="18"/>
              </w:rPr>
              <w:t>P</w:t>
            </w:r>
          </w:p>
        </w:tc>
        <w:tc>
          <w:tcPr>
            <w:tcW w:type="dxa" w:w="3216"/>
          </w:tcPr>
          <w:p>
            <w:pPr>
              <w:spacing w:after="60"/>
            </w:pPr>
            <w:r>
              <w:rPr>
                <w:b w:val="0"/>
                <w:sz w:val="18"/>
              </w:rPr>
              <w:t>Dataset phosphorus measurement</w:t>
            </w:r>
          </w:p>
        </w:tc>
        <w:tc>
          <w:tcPr>
            <w:tcW w:type="dxa" w:w="3216"/>
          </w:tcPr>
          <w:p>
            <w:pPr>
              <w:spacing w:after="60"/>
            </w:pPr>
            <w:r>
              <w:rPr>
                <w:b w:val="0"/>
                <w:sz w:val="18"/>
              </w:rPr>
              <w:t>0–300</w:t>
            </w:r>
          </w:p>
        </w:tc>
      </w:tr>
      <w:tr>
        <w:tc>
          <w:tcPr>
            <w:tcW w:type="dxa" w:w="3216"/>
          </w:tcPr>
          <w:p>
            <w:pPr>
              <w:spacing w:after="60"/>
            </w:pPr>
            <w:r>
              <w:rPr>
                <w:b w:val="0"/>
                <w:sz w:val="18"/>
              </w:rPr>
              <w:t>K</w:t>
            </w:r>
          </w:p>
        </w:tc>
        <w:tc>
          <w:tcPr>
            <w:tcW w:type="dxa" w:w="3216"/>
          </w:tcPr>
          <w:p>
            <w:pPr>
              <w:spacing w:after="60"/>
            </w:pPr>
            <w:r>
              <w:rPr>
                <w:b w:val="0"/>
                <w:sz w:val="18"/>
              </w:rPr>
              <w:t>Dataset potassium measurement</w:t>
            </w:r>
          </w:p>
        </w:tc>
        <w:tc>
          <w:tcPr>
            <w:tcW w:type="dxa" w:w="3216"/>
          </w:tcPr>
          <w:p>
            <w:pPr>
              <w:spacing w:after="60"/>
            </w:pPr>
            <w:r>
              <w:rPr>
                <w:b w:val="0"/>
                <w:sz w:val="18"/>
              </w:rPr>
              <w:t>0–300</w:t>
            </w:r>
          </w:p>
        </w:tc>
      </w:tr>
      <w:tr>
        <w:tc>
          <w:tcPr>
            <w:tcW w:type="dxa" w:w="3216"/>
          </w:tcPr>
          <w:p>
            <w:pPr>
              <w:spacing w:after="60"/>
            </w:pPr>
            <w:r>
              <w:rPr>
                <w:b w:val="0"/>
                <w:sz w:val="18"/>
              </w:rPr>
              <w:t>temperature</w:t>
            </w:r>
          </w:p>
        </w:tc>
        <w:tc>
          <w:tcPr>
            <w:tcW w:type="dxa" w:w="3216"/>
          </w:tcPr>
          <w:p>
            <w:pPr>
              <w:spacing w:after="60"/>
            </w:pPr>
            <w:r>
              <w:rPr>
                <w:b w:val="0"/>
                <w:sz w:val="18"/>
              </w:rPr>
              <w:t>Temperature, °C</w:t>
            </w:r>
          </w:p>
        </w:tc>
        <w:tc>
          <w:tcPr>
            <w:tcW w:type="dxa" w:w="3216"/>
          </w:tcPr>
          <w:p>
            <w:pPr>
              <w:spacing w:after="60"/>
            </w:pPr>
            <w:r>
              <w:rPr>
                <w:b w:val="0"/>
                <w:sz w:val="18"/>
              </w:rPr>
              <w:t>−10–60</w:t>
            </w:r>
          </w:p>
        </w:tc>
      </w:tr>
      <w:tr>
        <w:tc>
          <w:tcPr>
            <w:tcW w:type="dxa" w:w="3216"/>
          </w:tcPr>
          <w:p>
            <w:pPr>
              <w:spacing w:after="60"/>
            </w:pPr>
            <w:r>
              <w:rPr>
                <w:b w:val="0"/>
                <w:sz w:val="18"/>
              </w:rPr>
              <w:t>humidity</w:t>
            </w:r>
          </w:p>
        </w:tc>
        <w:tc>
          <w:tcPr>
            <w:tcW w:type="dxa" w:w="3216"/>
          </w:tcPr>
          <w:p>
            <w:pPr>
              <w:spacing w:after="60"/>
            </w:pPr>
            <w:r>
              <w:rPr>
                <w:b w:val="0"/>
                <w:sz w:val="18"/>
              </w:rPr>
              <w:t>Relative humidity, %</w:t>
            </w:r>
          </w:p>
        </w:tc>
        <w:tc>
          <w:tcPr>
            <w:tcW w:type="dxa" w:w="3216"/>
          </w:tcPr>
          <w:p>
            <w:pPr>
              <w:spacing w:after="60"/>
            </w:pPr>
            <w:r>
              <w:rPr>
                <w:b w:val="0"/>
                <w:sz w:val="18"/>
              </w:rPr>
              <w:t>0–100</w:t>
            </w:r>
          </w:p>
        </w:tc>
      </w:tr>
      <w:tr>
        <w:tc>
          <w:tcPr>
            <w:tcW w:type="dxa" w:w="3216"/>
          </w:tcPr>
          <w:p>
            <w:pPr>
              <w:spacing w:after="60"/>
            </w:pPr>
            <w:r>
              <w:rPr>
                <w:b w:val="0"/>
                <w:sz w:val="18"/>
              </w:rPr>
              <w:t>ph</w:t>
            </w:r>
          </w:p>
        </w:tc>
        <w:tc>
          <w:tcPr>
            <w:tcW w:type="dxa" w:w="3216"/>
          </w:tcPr>
          <w:p>
            <w:pPr>
              <w:spacing w:after="60"/>
            </w:pPr>
            <w:r>
              <w:rPr>
                <w:b w:val="0"/>
                <w:sz w:val="18"/>
              </w:rPr>
              <w:t>Soil pH</w:t>
            </w:r>
          </w:p>
        </w:tc>
        <w:tc>
          <w:tcPr>
            <w:tcW w:type="dxa" w:w="3216"/>
          </w:tcPr>
          <w:p>
            <w:pPr>
              <w:spacing w:after="60"/>
            </w:pPr>
            <w:r>
              <w:rPr>
                <w:b w:val="0"/>
                <w:sz w:val="18"/>
              </w:rPr>
              <w:t>0–14</w:t>
            </w:r>
          </w:p>
        </w:tc>
      </w:tr>
      <w:tr>
        <w:tc>
          <w:tcPr>
            <w:tcW w:type="dxa" w:w="3216"/>
          </w:tcPr>
          <w:p>
            <w:pPr>
              <w:spacing w:after="60"/>
            </w:pPr>
            <w:r>
              <w:rPr>
                <w:b w:val="0"/>
                <w:sz w:val="18"/>
              </w:rPr>
              <w:t>rainfall</w:t>
            </w:r>
          </w:p>
        </w:tc>
        <w:tc>
          <w:tcPr>
            <w:tcW w:type="dxa" w:w="3216"/>
          </w:tcPr>
          <w:p>
            <w:pPr>
              <w:spacing w:after="60"/>
            </w:pPr>
            <w:r>
              <w:rPr>
                <w:b w:val="0"/>
                <w:sz w:val="18"/>
              </w:rPr>
              <w:t>Rainfall, mm</w:t>
            </w:r>
          </w:p>
        </w:tc>
        <w:tc>
          <w:tcPr>
            <w:tcW w:type="dxa" w:w="3216"/>
          </w:tcPr>
          <w:p>
            <w:pPr>
              <w:spacing w:after="60"/>
            </w:pPr>
            <w:r>
              <w:rPr>
                <w:b w:val="0"/>
                <w:sz w:val="18"/>
              </w:rPr>
              <w:t>0–5,000</w:t>
            </w:r>
          </w:p>
        </w:tc>
      </w:tr>
    </w:tbl>
    <w:p/>
    <w:p>
      <w:r>
        <w:rPr>
          <w:b w:val="0"/>
        </w:rPr>
        <w:t>These are application input bounds, not agronomic recommendations or training-data limits. The app also warns when a value lies outside the actual minimum/maximum observed in training data. Nutrient measurements must be matched to the dataset's units; the CSV does not establish universal conversion from laboratory soil-test units. Its rainfall observation period is also not specified in the file.</w:t>
      </w:r>
    </w:p>
    <w:p>
      <w:r>
        <w:rPr>
          <w:b w:val="0"/>
        </w:rPr>
        <w:t>Preprocessing checks the exact expected columns, missing values, duplicate rows, and non-finite numeric entries. The crop label is encoded into integer class identifiers using LabelEncoder. The input DataFrame retains the seven features in their training order. Invalid data is rejected rather than silently imputed. There is no synthetic augmentation, SMOTE, or feature scaling.</w:t>
      </w:r>
    </w:p>
    <w:p>
      <w:r>
        <w:rPr>
          <w:b w:val="0"/>
        </w:rPr>
        <w:t>Tree-based algorithms use threshold splits and generally do not require normalization. No additional features are engineered for model training. Price per kg, estimated profit, relative model score, and normalized profit are derived only within the planning layer; they do not expand the classifier's seven-feature input.</w:t>
      </w:r>
    </w:p>
    <w:p>
      <w:pPr>
        <w:pStyle w:val="Heading1"/>
      </w:pPr>
      <w:r>
        <w:t>5. Algorithm Selection and Configuration</w:t>
      </w:r>
    </w:p>
    <w:p>
      <w:pPr>
        <w:pStyle w:val="Heading2"/>
      </w:pPr>
      <w:r>
        <w:t>5.1 Random Forest</w:t>
      </w:r>
    </w:p>
    <w:p>
      <w:r>
        <w:rPr>
          <w:b w:val="0"/>
        </w:rPr>
        <w:t>Random Forest is a bagging-based ensemble. Decision trees learn from bootstrap samples, and random feature subsets are considered at each split. Class probabilities are combined across trees. This reduces sensitivity to individual training samples compared with relying on a single tree. It is suitable for a small tabular dataset with potentially nonlinear feature interactions, although overfitting and dataset bias remain possible.</w:t>
      </w:r>
    </w:p>
    <w:p>
      <w:r>
        <w:rPr>
          <w:b w:val="0"/>
        </w:rPr>
        <w:t>The implementation uses RandomForestClassifier with 300 trees, max_features="sqrt", random seed 42, and two CPU jobs. Other parameters use scikit-learn defaults.</w:t>
      </w:r>
    </w:p>
    <w:p>
      <w:pPr>
        <w:pStyle w:val="Heading2"/>
      </w:pPr>
      <w:r>
        <w:t>5.2 XGBoost</w:t>
      </w:r>
    </w:p>
    <w:p>
      <w:r>
        <w:rPr>
          <w:b w:val="0"/>
        </w:rPr>
        <w:t>XGBoost builds boosted tree ensembles sequentially by optimizing an objective function. Successive stages improve the current prediction using gradient information. It supports regularization and efficient histogram-based training. It was included as a strong tabular-data alternative rather than assumed to outperform Random Forest.</w:t>
      </w:r>
    </w:p>
    <w:p>
      <w:r>
        <w:rPr>
          <w:b w:val="0"/>
        </w:rPr>
        <w:t>The implementation uses XGBClassifier with 250 boosting rounds, maximum depth 4, learning rate 0.08, row subsampling 0.9, feature subsampling 0.9, multi:softprob objective, mlogloss evaluation metric, histogram tree construction, seed 42, and two CPU jobs. Multiclass boosting can produce multiple trees per round; 250 rounds does not necessarily mean 250 individual trees.</w:t>
      </w:r>
    </w:p>
    <w:p>
      <w:r>
        <w:rPr>
          <w:b w:val="0"/>
        </w:rPr>
        <w:t>The models are compared, not combined into a third ensemble. Hyperparameters are fixed for this prototype; no grid search, early stopping, or cross-validation is claimed.</w:t>
      </w:r>
    </w:p>
    <w:p>
      <w:pPr>
        <w:pStyle w:val="Heading1"/>
      </w:pPr>
      <w:r>
        <w:t>6. Validation Pipeline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spacing w:after="60"/>
            </w:pPr>
            <w:r>
              <w:rPr>
                <w:b w:val="0"/>
                <w:sz w:val="18"/>
              </w:rPr>
            </w:r>
            <w:r>
              <w:rPr>
                <w:b/>
                <w:sz w:val="18"/>
              </w:rPr>
              <w:t>Partition</w:t>
            </w:r>
            <w:r>
              <w:rPr>
                <w:b w:val="0"/>
                <w:sz w:val="18"/>
              </w:rPr>
            </w:r>
          </w:p>
        </w:tc>
        <w:tc>
          <w:tcPr>
            <w:tcW w:type="dxa" w:w="2412"/>
          </w:tcPr>
          <w:p>
            <w:pPr>
              <w:spacing w:after="60"/>
            </w:pPr>
            <w:r>
              <w:rPr>
                <w:b w:val="0"/>
                <w:sz w:val="18"/>
              </w:rPr>
            </w:r>
            <w:r>
              <w:rPr>
                <w:b/>
                <w:sz w:val="18"/>
              </w:rPr>
              <w:t>Percentage of complete dataset</w:t>
            </w:r>
            <w:r>
              <w:rPr>
                <w:b w:val="0"/>
                <w:sz w:val="18"/>
              </w:rPr>
            </w:r>
          </w:p>
        </w:tc>
        <w:tc>
          <w:tcPr>
            <w:tcW w:type="dxa" w:w="2412"/>
          </w:tcPr>
          <w:p>
            <w:pPr>
              <w:spacing w:after="60"/>
            </w:pPr>
            <w:r>
              <w:rPr>
                <w:b w:val="0"/>
                <w:sz w:val="18"/>
              </w:rPr>
            </w:r>
            <w:r>
              <w:rPr>
                <w:b/>
                <w:sz w:val="18"/>
              </w:rPr>
              <w:t>Samples</w:t>
            </w:r>
            <w:r>
              <w:rPr>
                <w:b w:val="0"/>
                <w:sz w:val="18"/>
              </w:rPr>
            </w:r>
          </w:p>
        </w:tc>
        <w:tc>
          <w:tcPr>
            <w:tcW w:type="dxa" w:w="2412"/>
          </w:tcPr>
          <w:p>
            <w:pPr>
              <w:spacing w:after="60"/>
            </w:pPr>
            <w:r>
              <w:rPr>
                <w:b w:val="0"/>
                <w:sz w:val="18"/>
              </w:rPr>
            </w:r>
            <w:r>
              <w:rPr>
                <w:b/>
                <w:sz w:val="18"/>
              </w:rPr>
              <w:t>Purpose</w:t>
            </w:r>
            <w:r>
              <w:rPr>
                <w:b w:val="0"/>
                <w:sz w:val="18"/>
              </w:rPr>
            </w:r>
          </w:p>
        </w:tc>
      </w:tr>
      <w:tr>
        <w:tc>
          <w:tcPr>
            <w:tcW w:type="dxa" w:w="2412"/>
          </w:tcPr>
          <w:p>
            <w:pPr>
              <w:spacing w:after="60"/>
            </w:pPr>
            <w:r>
              <w:rPr>
                <w:b w:val="0"/>
                <w:sz w:val="18"/>
              </w:rPr>
              <w:t>Training</w:t>
            </w:r>
          </w:p>
        </w:tc>
        <w:tc>
          <w:tcPr>
            <w:tcW w:type="dxa" w:w="2412"/>
          </w:tcPr>
          <w:p>
            <w:pPr>
              <w:spacing w:after="60"/>
            </w:pPr>
            <w:r>
              <w:rPr>
                <w:b w:val="0"/>
                <w:sz w:val="18"/>
              </w:rPr>
              <w:t>60%</w:t>
            </w:r>
          </w:p>
        </w:tc>
        <w:tc>
          <w:tcPr>
            <w:tcW w:type="dxa" w:w="2412"/>
          </w:tcPr>
          <w:p>
            <w:pPr>
              <w:spacing w:after="60"/>
            </w:pPr>
            <w:r>
              <w:rPr>
                <w:b w:val="0"/>
                <w:sz w:val="18"/>
              </w:rPr>
              <w:t>1,320</w:t>
            </w:r>
          </w:p>
        </w:tc>
        <w:tc>
          <w:tcPr>
            <w:tcW w:type="dxa" w:w="2412"/>
          </w:tcPr>
          <w:p>
            <w:pPr>
              <w:spacing w:after="60"/>
            </w:pPr>
            <w:r>
              <w:rPr>
                <w:b w:val="0"/>
                <w:sz w:val="18"/>
              </w:rPr>
              <w:t>Initial model fitting</w:t>
            </w:r>
          </w:p>
        </w:tc>
      </w:tr>
      <w:tr>
        <w:tc>
          <w:tcPr>
            <w:tcW w:type="dxa" w:w="2412"/>
          </w:tcPr>
          <w:p>
            <w:pPr>
              <w:spacing w:after="60"/>
            </w:pPr>
            <w:r>
              <w:rPr>
                <w:b w:val="0"/>
                <w:sz w:val="18"/>
              </w:rPr>
              <w:t>Validation</w:t>
            </w:r>
          </w:p>
        </w:tc>
        <w:tc>
          <w:tcPr>
            <w:tcW w:type="dxa" w:w="2412"/>
          </w:tcPr>
          <w:p>
            <w:pPr>
              <w:spacing w:after="60"/>
            </w:pPr>
            <w:r>
              <w:rPr>
                <w:b w:val="0"/>
                <w:sz w:val="18"/>
              </w:rPr>
              <w:t>20%</w:t>
            </w:r>
          </w:p>
        </w:tc>
        <w:tc>
          <w:tcPr>
            <w:tcW w:type="dxa" w:w="2412"/>
          </w:tcPr>
          <w:p>
            <w:pPr>
              <w:spacing w:after="60"/>
            </w:pPr>
            <w:r>
              <w:rPr>
                <w:b w:val="0"/>
                <w:sz w:val="18"/>
              </w:rPr>
              <w:t>440</w:t>
            </w:r>
          </w:p>
        </w:tc>
        <w:tc>
          <w:tcPr>
            <w:tcW w:type="dxa" w:w="2412"/>
          </w:tcPr>
          <w:p>
            <w:pPr>
              <w:spacing w:after="60"/>
            </w:pPr>
            <w:r>
              <w:rPr>
                <w:b w:val="0"/>
                <w:sz w:val="18"/>
              </w:rPr>
              <w:t>Model selection using macro-F1</w:t>
            </w:r>
          </w:p>
        </w:tc>
      </w:tr>
      <w:tr>
        <w:tc>
          <w:tcPr>
            <w:tcW w:type="dxa" w:w="2412"/>
          </w:tcPr>
          <w:p>
            <w:pPr>
              <w:spacing w:after="60"/>
            </w:pPr>
            <w:r>
              <w:rPr>
                <w:b w:val="0"/>
                <w:sz w:val="18"/>
              </w:rPr>
              <w:t>Test</w:t>
            </w:r>
          </w:p>
        </w:tc>
        <w:tc>
          <w:tcPr>
            <w:tcW w:type="dxa" w:w="2412"/>
          </w:tcPr>
          <w:p>
            <w:pPr>
              <w:spacing w:after="60"/>
            </w:pPr>
            <w:r>
              <w:rPr>
                <w:b w:val="0"/>
                <w:sz w:val="18"/>
              </w:rPr>
              <w:t>20%</w:t>
            </w:r>
          </w:p>
        </w:tc>
        <w:tc>
          <w:tcPr>
            <w:tcW w:type="dxa" w:w="2412"/>
          </w:tcPr>
          <w:p>
            <w:pPr>
              <w:spacing w:after="60"/>
            </w:pPr>
            <w:r>
              <w:rPr>
                <w:b w:val="0"/>
                <w:sz w:val="18"/>
              </w:rPr>
              <w:t>440</w:t>
            </w:r>
          </w:p>
        </w:tc>
        <w:tc>
          <w:tcPr>
            <w:tcW w:type="dxa" w:w="2412"/>
          </w:tcPr>
          <w:p>
            <w:pPr>
              <w:spacing w:after="60"/>
            </w:pPr>
            <w:r>
              <w:rPr>
                <w:b w:val="0"/>
                <w:sz w:val="18"/>
              </w:rPr>
              <w:t>Independent final evaluation</w:t>
            </w:r>
          </w:p>
        </w:tc>
      </w:tr>
      <w:tr>
        <w:tc>
          <w:tcPr>
            <w:tcW w:type="dxa" w:w="2412"/>
          </w:tcPr>
          <w:p>
            <w:pPr>
              <w:spacing w:after="60"/>
            </w:pPr>
            <w:r>
              <w:rPr>
                <w:b w:val="0"/>
                <w:sz w:val="18"/>
              </w:rPr>
              <w:t>Final fitting pool</w:t>
            </w:r>
          </w:p>
        </w:tc>
        <w:tc>
          <w:tcPr>
            <w:tcW w:type="dxa" w:w="2412"/>
          </w:tcPr>
          <w:p>
            <w:pPr>
              <w:spacing w:after="60"/>
            </w:pPr>
            <w:r>
              <w:rPr>
                <w:b w:val="0"/>
                <w:sz w:val="18"/>
              </w:rPr>
              <w:t>Training + validation</w:t>
            </w:r>
          </w:p>
        </w:tc>
        <w:tc>
          <w:tcPr>
            <w:tcW w:type="dxa" w:w="2412"/>
          </w:tcPr>
          <w:p>
            <w:pPr>
              <w:spacing w:after="60"/>
            </w:pPr>
            <w:r>
              <w:rPr>
                <w:b w:val="0"/>
                <w:sz w:val="18"/>
              </w:rPr>
              <w:t>1,760</w:t>
            </w:r>
          </w:p>
        </w:tc>
        <w:tc>
          <w:tcPr>
            <w:tcW w:type="dxa" w:w="2412"/>
          </w:tcPr>
          <w:p>
            <w:pPr>
              <w:spacing w:after="60"/>
            </w:pPr>
            <w:r>
              <w:rPr>
                <w:b w:val="0"/>
                <w:sz w:val="18"/>
              </w:rPr>
              <w:t>Refit each selected configuration before final testing</w:t>
            </w:r>
          </w:p>
        </w:tc>
      </w:tr>
    </w:tbl>
    <w:p/>
    <w:p>
      <w:r>
        <w:rPr>
          <w:b w:val="0"/>
        </w:rPr>
        <w:t>The script first reserves 20% for testing, then reserves 25% of the remaining 80% for validation. Both splits are stratified by crop class and use seed 42. Macro-F1 is calculated for each initially trained model. Random Forest is selected because its validation macro-F1 is higher. Both configurations are then refitted on the 1,760 training-plus-validation records and evaluated on the untouched test records. Those tested artifacts are saved for serving; the test set is not subsequently used for fitting.</w:t>
      </w:r>
    </w:p>
    <w:p>
      <w:r>
        <w:rPr>
          <w:b w:val="0"/>
        </w:rPr>
        <w:t>Accuracy measures the proportion of correct classifications. Precision and recall quantify per-class predictive correctness and coverage. F1 is their harmonic mean, and macro-F1 averages class F1 values with equal crop weighting. Classification reports, confusion matrices, feature importances, split counts, and the dataset SHA-256 are saved in models/metrics.json.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pPr>
              <w:spacing w:after="60"/>
            </w:pPr>
            <w:r>
              <w:rPr>
                <w:b w:val="0"/>
                <w:sz w:val="18"/>
              </w:rPr>
            </w:r>
            <w:r>
              <w:rPr>
                <w:b/>
                <w:sz w:val="18"/>
              </w:rPr>
              <w:t>Model</w:t>
            </w:r>
            <w:r>
              <w:rPr>
                <w:b w:val="0"/>
                <w:sz w:val="18"/>
              </w:rPr>
            </w:r>
          </w:p>
        </w:tc>
        <w:tc>
          <w:tcPr>
            <w:tcW w:type="dxa" w:w="1930"/>
          </w:tcPr>
          <w:p>
            <w:pPr>
              <w:spacing w:after="60"/>
            </w:pPr>
            <w:r>
              <w:rPr>
                <w:b w:val="0"/>
                <w:sz w:val="18"/>
              </w:rPr>
            </w:r>
            <w:r>
              <w:rPr>
                <w:b/>
                <w:sz w:val="18"/>
              </w:rPr>
              <w:t>Validation macro-F1</w:t>
            </w:r>
            <w:r>
              <w:rPr>
                <w:b w:val="0"/>
                <w:sz w:val="18"/>
              </w:rPr>
            </w:r>
          </w:p>
        </w:tc>
        <w:tc>
          <w:tcPr>
            <w:tcW w:type="dxa" w:w="1930"/>
          </w:tcPr>
          <w:p>
            <w:pPr>
              <w:spacing w:after="60"/>
            </w:pPr>
            <w:r>
              <w:rPr>
                <w:b w:val="0"/>
                <w:sz w:val="18"/>
              </w:rPr>
            </w:r>
            <w:r>
              <w:rPr>
                <w:b/>
                <w:sz w:val="18"/>
              </w:rPr>
              <w:t>Test accuracy</w:t>
            </w:r>
            <w:r>
              <w:rPr>
                <w:b w:val="0"/>
                <w:sz w:val="18"/>
              </w:rPr>
            </w:r>
          </w:p>
        </w:tc>
        <w:tc>
          <w:tcPr>
            <w:tcW w:type="dxa" w:w="1930"/>
          </w:tcPr>
          <w:p>
            <w:pPr>
              <w:spacing w:after="60"/>
            </w:pPr>
            <w:r>
              <w:rPr>
                <w:b w:val="0"/>
                <w:sz w:val="18"/>
              </w:rPr>
            </w:r>
            <w:r>
              <w:rPr>
                <w:b/>
                <w:sz w:val="18"/>
              </w:rPr>
              <w:t>Test macro-F1</w:t>
            </w:r>
            <w:r>
              <w:rPr>
                <w:b w:val="0"/>
                <w:sz w:val="18"/>
              </w:rPr>
            </w:r>
          </w:p>
        </w:tc>
        <w:tc>
          <w:tcPr>
            <w:tcW w:type="dxa" w:w="1930"/>
          </w:tcPr>
          <w:p>
            <w:pPr>
              <w:spacing w:after="60"/>
            </w:pPr>
            <w:r>
              <w:rPr>
                <w:b w:val="0"/>
                <w:sz w:val="18"/>
              </w:rPr>
            </w:r>
            <w:r>
              <w:rPr>
                <w:b/>
                <w:sz w:val="18"/>
              </w:rPr>
              <w:t>Correct test predictions</w:t>
            </w:r>
            <w:r>
              <w:rPr>
                <w:b w:val="0"/>
                <w:sz w:val="18"/>
              </w:rPr>
            </w:r>
          </w:p>
        </w:tc>
      </w:tr>
      <w:tr>
        <w:tc>
          <w:tcPr>
            <w:tcW w:type="dxa" w:w="1930"/>
          </w:tcPr>
          <w:p>
            <w:pPr>
              <w:spacing w:after="60"/>
            </w:pPr>
            <w:r>
              <w:rPr>
                <w:b w:val="0"/>
                <w:sz w:val="18"/>
              </w:rPr>
              <w:t>Random Forest</w:t>
            </w:r>
          </w:p>
        </w:tc>
        <w:tc>
          <w:tcPr>
            <w:tcW w:type="dxa" w:w="1930"/>
          </w:tcPr>
          <w:p>
            <w:pPr>
              <w:spacing w:after="60"/>
            </w:pPr>
            <w:r>
              <w:rPr>
                <w:b w:val="0"/>
                <w:sz w:val="18"/>
              </w:rPr>
              <w:t>0.9932</w:t>
            </w:r>
          </w:p>
        </w:tc>
        <w:tc>
          <w:tcPr>
            <w:tcW w:type="dxa" w:w="1930"/>
          </w:tcPr>
          <w:p>
            <w:pPr>
              <w:spacing w:after="60"/>
            </w:pPr>
            <w:r>
              <w:rPr>
                <w:b w:val="0"/>
                <w:sz w:val="18"/>
              </w:rPr>
              <w:t>99.32%</w:t>
            </w:r>
          </w:p>
        </w:tc>
        <w:tc>
          <w:tcPr>
            <w:tcW w:type="dxa" w:w="1930"/>
          </w:tcPr>
          <w:p>
            <w:pPr>
              <w:spacing w:after="60"/>
            </w:pPr>
            <w:r>
              <w:rPr>
                <w:b w:val="0"/>
                <w:sz w:val="18"/>
              </w:rPr>
              <w:t>0.9932</w:t>
            </w:r>
          </w:p>
        </w:tc>
        <w:tc>
          <w:tcPr>
            <w:tcW w:type="dxa" w:w="1930"/>
          </w:tcPr>
          <w:p>
            <w:pPr>
              <w:spacing w:after="60"/>
            </w:pPr>
            <w:r>
              <w:rPr>
                <w:b w:val="0"/>
                <w:sz w:val="18"/>
              </w:rPr>
              <w:t>437 / 440</w:t>
            </w:r>
          </w:p>
        </w:tc>
      </w:tr>
      <w:tr>
        <w:tc>
          <w:tcPr>
            <w:tcW w:type="dxa" w:w="1930"/>
          </w:tcPr>
          <w:p>
            <w:pPr>
              <w:spacing w:after="60"/>
            </w:pPr>
            <w:r>
              <w:rPr>
                <w:b w:val="0"/>
                <w:sz w:val="18"/>
              </w:rPr>
              <w:t>XGBoost</w:t>
            </w:r>
          </w:p>
        </w:tc>
        <w:tc>
          <w:tcPr>
            <w:tcW w:type="dxa" w:w="1930"/>
          </w:tcPr>
          <w:p>
            <w:pPr>
              <w:spacing w:after="60"/>
            </w:pPr>
            <w:r>
              <w:rPr>
                <w:b w:val="0"/>
                <w:sz w:val="18"/>
              </w:rPr>
              <w:t>0.9909</w:t>
            </w:r>
          </w:p>
        </w:tc>
        <w:tc>
          <w:tcPr>
            <w:tcW w:type="dxa" w:w="1930"/>
          </w:tcPr>
          <w:p>
            <w:pPr>
              <w:spacing w:after="60"/>
            </w:pPr>
            <w:r>
              <w:rPr>
                <w:b w:val="0"/>
                <w:sz w:val="18"/>
              </w:rPr>
              <w:t>98.86%</w:t>
            </w:r>
          </w:p>
        </w:tc>
        <w:tc>
          <w:tcPr>
            <w:tcW w:type="dxa" w:w="1930"/>
          </w:tcPr>
          <w:p>
            <w:pPr>
              <w:spacing w:after="60"/>
            </w:pPr>
            <w:r>
              <w:rPr>
                <w:b w:val="0"/>
                <w:sz w:val="18"/>
              </w:rPr>
              <w:t>0.9885</w:t>
            </w:r>
          </w:p>
        </w:tc>
        <w:tc>
          <w:tcPr>
            <w:tcW w:type="dxa" w:w="1930"/>
          </w:tcPr>
          <w:p>
            <w:pPr>
              <w:spacing w:after="60"/>
            </w:pPr>
            <w:r>
              <w:rPr>
                <w:b w:val="0"/>
                <w:sz w:val="18"/>
              </w:rPr>
              <w:t>435 / 440</w:t>
            </w:r>
          </w:p>
        </w:tc>
      </w:tr>
    </w:tbl>
    <w:p/>
    <w:p>
      <w:r>
        <w:rPr>
          <w:b w:val="0"/>
        </w:rPr>
        <w:t>These results establish held-out performance within this dataset. They do not establish regional field performance, causal agricultural relationships, or a calibrated probability of farming success. A single random split is a prototype validation method; geographic and seasonal validation remain future work.</w:t>
      </w:r>
    </w:p>
    <w:p>
      <w:pPr>
        <w:pStyle w:val="Heading1"/>
      </w:pPr>
      <w:r>
        <w:t>7. Modular Implementation</w:t>
      </w:r>
    </w:p>
    <w:tbl>
      <w:tblPr>
        <w:tblStyle w:val="TableGrid"/>
        <w:tblW w:type="auto" w:w="0"/>
        <w:tblLook w:firstColumn="1" w:firstRow="1" w:lastColumn="0" w:lastRow="0" w:noHBand="0" w:noVBand="1" w:val="04A0"/>
      </w:tblPr>
      <w:tblGrid>
        <w:gridCol w:w="4824"/>
        <w:gridCol w:w="4824"/>
      </w:tblGrid>
      <w:tr>
        <w:tc>
          <w:tcPr>
            <w:tcW w:type="dxa" w:w="4824"/>
          </w:tcPr>
          <w:p>
            <w:pPr>
              <w:spacing w:after="60"/>
            </w:pPr>
            <w:r>
              <w:rPr>
                <w:b w:val="0"/>
                <w:sz w:val="18"/>
              </w:rPr>
            </w:r>
            <w:r>
              <w:rPr>
                <w:b/>
                <w:sz w:val="18"/>
              </w:rPr>
              <w:t>Module / file</w:t>
            </w:r>
            <w:r>
              <w:rPr>
                <w:b w:val="0"/>
                <w:sz w:val="18"/>
              </w:rPr>
            </w:r>
          </w:p>
        </w:tc>
        <w:tc>
          <w:tcPr>
            <w:tcW w:type="dxa" w:w="4824"/>
          </w:tcPr>
          <w:p>
            <w:pPr>
              <w:spacing w:after="60"/>
            </w:pPr>
            <w:r>
              <w:rPr>
                <w:b w:val="0"/>
                <w:sz w:val="18"/>
              </w:rPr>
            </w:r>
            <w:r>
              <w:rPr>
                <w:b/>
                <w:sz w:val="18"/>
              </w:rPr>
              <w:t>Responsibility</w:t>
            </w:r>
            <w:r>
              <w:rPr>
                <w:b w:val="0"/>
                <w:sz w:val="18"/>
              </w:rPr>
            </w:r>
          </w:p>
        </w:tc>
      </w:tr>
      <w:tr>
        <w:tc>
          <w:tcPr>
            <w:tcW w:type="dxa" w:w="4824"/>
          </w:tcPr>
          <w:p>
            <w:pPr>
              <w:spacing w:after="60"/>
            </w:pPr>
            <w:r>
              <w:rPr>
                <w:b w:val="0"/>
                <w:sz w:val="18"/>
              </w:rPr>
              <w:t>train.py</w:t>
            </w:r>
          </w:p>
        </w:tc>
        <w:tc>
          <w:tcPr>
            <w:tcW w:type="dxa" w:w="4824"/>
          </w:tcPr>
          <w:p>
            <w:pPr>
              <w:spacing w:after="60"/>
            </w:pPr>
            <w:r>
              <w:rPr>
                <w:b w:val="0"/>
                <w:sz w:val="18"/>
              </w:rPr>
              <w:t>Data validation, encoding, splitting, training, selection, evaluation, artifact generation</w:t>
            </w:r>
          </w:p>
        </w:tc>
      </w:tr>
      <w:tr>
        <w:tc>
          <w:tcPr>
            <w:tcW w:type="dxa" w:w="4824"/>
          </w:tcPr>
          <w:p>
            <w:pPr>
              <w:spacing w:after="60"/>
            </w:pPr>
            <w:r>
              <w:rPr>
                <w:b w:val="0"/>
                <w:sz w:val="18"/>
              </w:rPr>
              <w:t>app.py</w:t>
            </w:r>
          </w:p>
        </w:tc>
        <w:tc>
          <w:tcPr>
            <w:tcW w:type="dxa" w:w="4824"/>
          </w:tcPr>
          <w:p>
            <w:pPr>
              <w:spacing w:after="60"/>
            </w:pPr>
            <w:r>
              <w:rPr>
                <w:b w:val="0"/>
                <w:sz w:val="18"/>
              </w:rPr>
              <w:t>Flask routes, request validation, inference, candidate filtering and profit ranking</w:t>
            </w:r>
          </w:p>
        </w:tc>
      </w:tr>
      <w:tr>
        <w:tc>
          <w:tcPr>
            <w:tcW w:type="dxa" w:w="4824"/>
          </w:tcPr>
          <w:p>
            <w:pPr>
              <w:spacing w:after="60"/>
            </w:pPr>
            <w:r>
              <w:rPr>
                <w:b w:val="0"/>
                <w:sz w:val="18"/>
              </w:rPr>
              <w:t>market.py</w:t>
            </w:r>
          </w:p>
        </w:tc>
        <w:tc>
          <w:tcPr>
            <w:tcW w:type="dxa" w:w="4824"/>
          </w:tcPr>
          <w:p>
            <w:pPr>
              <w:spacing w:after="60"/>
            </w:pPr>
            <w:r>
              <w:rPr>
                <w:b w:val="0"/>
                <w:sz w:val="18"/>
              </w:rPr>
              <w:t>Official API adapter, CSV parsing, unit conversion, freshness checks and quote registry</w:t>
            </w:r>
          </w:p>
        </w:tc>
      </w:tr>
      <w:tr>
        <w:tc>
          <w:tcPr>
            <w:tcW w:type="dxa" w:w="4824"/>
          </w:tcPr>
          <w:p>
            <w:pPr>
              <w:spacing w:after="60"/>
            </w:pPr>
            <w:r>
              <w:rPr>
                <w:b w:val="0"/>
                <w:sz w:val="18"/>
              </w:rPr>
              <w:t>run_local.py / RUN_APP.bat</w:t>
            </w:r>
          </w:p>
        </w:tc>
        <w:tc>
          <w:tcPr>
            <w:tcW w:type="dxa" w:w="4824"/>
          </w:tcPr>
          <w:p>
            <w:pPr>
              <w:spacing w:after="60"/>
            </w:pPr>
            <w:r>
              <w:rPr>
                <w:b w:val="0"/>
                <w:sz w:val="18"/>
              </w:rPr>
              <w:t>Local startup, Python 3.12 Windows environment and browser launch</w:t>
            </w:r>
          </w:p>
        </w:tc>
      </w:tr>
      <w:tr>
        <w:tc>
          <w:tcPr>
            <w:tcW w:type="dxa" w:w="4824"/>
          </w:tcPr>
          <w:p>
            <w:pPr>
              <w:spacing w:after="60"/>
            </w:pPr>
            <w:r>
              <w:rPr>
                <w:b w:val="0"/>
                <w:sz w:val="18"/>
              </w:rPr>
              <w:t>templates/index.html</w:t>
            </w:r>
          </w:p>
        </w:tc>
        <w:tc>
          <w:tcPr>
            <w:tcW w:type="dxa" w:w="4824"/>
          </w:tcPr>
          <w:p>
            <w:pPr>
              <w:spacing w:after="60"/>
            </w:pPr>
            <w:r>
              <w:rPr>
                <w:b w:val="0"/>
                <w:sz w:val="18"/>
              </w:rPr>
              <w:t>Input forms, recommendation display and market-price reporting panel</w:t>
            </w:r>
          </w:p>
        </w:tc>
      </w:tr>
      <w:tr>
        <w:tc>
          <w:tcPr>
            <w:tcW w:type="dxa" w:w="4824"/>
          </w:tcPr>
          <w:p>
            <w:pPr>
              <w:spacing w:after="60"/>
            </w:pPr>
            <w:r>
              <w:rPr>
                <w:b w:val="0"/>
                <w:sz w:val="18"/>
              </w:rPr>
              <w:t>static/app.js / static/style.css</w:t>
            </w:r>
          </w:p>
        </w:tc>
        <w:tc>
          <w:tcPr>
            <w:tcW w:type="dxa" w:w="4824"/>
          </w:tcPr>
          <w:p>
            <w:pPr>
              <w:spacing w:after="60"/>
            </w:pPr>
            <w:r>
              <w:rPr>
                <w:b w:val="0"/>
                <w:sz w:val="18"/>
              </w:rPr>
              <w:t>Browser interactions, API calls, report rendering and responsive layout</w:t>
            </w:r>
          </w:p>
        </w:tc>
      </w:tr>
      <w:tr>
        <w:tc>
          <w:tcPr>
            <w:tcW w:type="dxa" w:w="4824"/>
          </w:tcPr>
          <w:p>
            <w:pPr>
              <w:spacing w:after="60"/>
            </w:pPr>
            <w:r>
              <w:rPr>
                <w:b w:val="0"/>
                <w:sz w:val="18"/>
              </w:rPr>
              <w:t>models/crop_models.joblib</w:t>
            </w:r>
          </w:p>
        </w:tc>
        <w:tc>
          <w:tcPr>
            <w:tcW w:type="dxa" w:w="4824"/>
          </w:tcPr>
          <w:p>
            <w:pPr>
              <w:spacing w:after="60"/>
            </w:pPr>
            <w:r>
              <w:rPr>
                <w:b w:val="0"/>
                <w:sz w:val="18"/>
              </w:rPr>
              <w:t>Both trained classifiers, label encoder and metadata</w:t>
            </w:r>
          </w:p>
        </w:tc>
      </w:tr>
      <w:tr>
        <w:tc>
          <w:tcPr>
            <w:tcW w:type="dxa" w:w="4824"/>
          </w:tcPr>
          <w:p>
            <w:pPr>
              <w:spacing w:after="60"/>
            </w:pPr>
            <w:r>
              <w:rPr>
                <w:b w:val="0"/>
                <w:sz w:val="18"/>
              </w:rPr>
              <w:t>models/metrics.json</w:t>
            </w:r>
          </w:p>
        </w:tc>
        <w:tc>
          <w:tcPr>
            <w:tcW w:type="dxa" w:w="4824"/>
          </w:tcPr>
          <w:p>
            <w:pPr>
              <w:spacing w:after="60"/>
            </w:pPr>
            <w:r>
              <w:rPr>
                <w:b w:val="0"/>
                <w:sz w:val="18"/>
              </w:rPr>
              <w:t>Reproducible evaluation output</w:t>
            </w:r>
          </w:p>
        </w:tc>
      </w:tr>
      <w:tr>
        <w:tc>
          <w:tcPr>
            <w:tcW w:type="dxa" w:w="4824"/>
          </w:tcPr>
          <w:p>
            <w:pPr>
              <w:spacing w:after="60"/>
            </w:pPr>
            <w:r>
              <w:rPr>
                <w:b w:val="0"/>
                <w:sz w:val="18"/>
              </w:rPr>
              <w:t>tests/test_app.py / tests/test_market.py</w:t>
            </w:r>
          </w:p>
        </w:tc>
        <w:tc>
          <w:tcPr>
            <w:tcW w:type="dxa" w:w="4824"/>
          </w:tcPr>
          <w:p>
            <w:pPr>
              <w:spacing w:after="60"/>
            </w:pPr>
            <w:r>
              <w:rPr>
                <w:b w:val="0"/>
                <w:sz w:val="18"/>
              </w:rPr>
              <w:t>Classifier/API behavior and market-processing checks</w:t>
            </w:r>
          </w:p>
        </w:tc>
      </w:tr>
    </w:tbl>
    <w:p/>
    <w:p>
      <w:r>
        <w:rPr>
          <w:b w:val="0"/>
        </w:rPr>
        <w:t>The backend exposes /api/health, /api/metadata, /api/recommend, /api/market-status, /api/market-prices, and /api/market-import. Recommendation requests contain JSON; CSV imports use multipart uploads. Errors return structured responses. The browser downloads a JSON field report containing recommendations, measurements, selected price reports, and financial assumptions.</w:t>
      </w:r>
    </w:p>
    <w:p>
      <w:r>
        <w:rPr>
          <w:b w:val="0"/>
        </w:rPr>
        <w:t>The runtime rejects missing/non-finite measurements, unsupported crop/model identifiers, invalid ranges, and incomplete financial entries. The model artifact is loaded from the project's generated file; untrusted joblib files must not be loaded.</w:t>
      </w:r>
    </w:p>
    <w:p>
      <w:pPr>
        <w:pStyle w:val="Heading1"/>
      </w:pPr>
      <w:r>
        <w:t>8. Market Price Processing and Financial Planning</w:t>
      </w:r>
    </w:p>
    <w:p>
      <w:r>
        <w:rPr>
          <w:b w:val="0"/>
        </w:rPr>
        <w:t>The market-price interface displays a card for each of the 22 crop labels. Reported crop prices can be obtained through the data.gov.in API or imported from an official CSV export. The processing pipeline matches supported commodities, validates price records, and retains market location and report-date information. API results are paginated, and a loaded page does not establish complete price coverage.</w:t>
      </w:r>
    </w:p>
    <w:p>
      <w:r>
        <w:rPr>
          <w:b w:val="0"/>
        </w:rPr>
        <w:t>Available prices remain individual mandi observations with their location, commodity, variety, grade, source and date. Each quote applies to its reported market and date. Missing reports remain unavailable; reports older than seven days cannot automatically fill financial inputs. Coconut conversion is blocked because count-based quotes cannot safely be converted into a kilogram price without weight information. Rice defaults to paddy, so sale form must match yield assumptions.</w:t>
      </w:r>
    </w:p>
    <w:p>
      <w:r>
        <w:rPr>
          <w:b w:val="0"/>
        </w:rPr>
        <w:t>Supported reports use INR/quintal. The conversion is:</w:t>
      </w:r>
    </w:p>
    <w:p>
      <w:r>
        <w:rPr>
          <w:b w:val="0"/>
        </w:rPr>
        <w:t>price_per_kg = modal_price_per_quintal / 100</w:t>
      </w:r>
    </w:p>
    <w:p>
      <w:r>
        <w:rPr>
          <w:b w:val="0"/>
        </w:rPr>
        <w:t>Financial calculation is:</w:t>
      </w:r>
    </w:p>
    <w:p>
      <w:r>
        <w:rPr>
          <w:b w:val="0"/>
        </w:rPr>
        <w:t>estimated_profit = (price_per_kg × expected_yield_kg_per_hectare − cost_per_hectare) × area_hectares</w:t>
      </w:r>
    </w:p>
    <w:p>
      <w:r>
        <w:rPr>
          <w:b w:val="0"/>
        </w:rPr>
        <w:t>Expected yield and cultivation cost are entered by the user, not predicted by either classifier. A price-only row does not enter profit calculation. A selected quote is registered server-side with an expiring identifier, so altering a browser-submitted price cannot overwrite its registered official-report value. The registry is in memory, expires after one hour, and clears on restart.</w:t>
      </w:r>
    </w:p>
    <w:p>
      <w:r>
        <w:rPr>
          <w:b w:val="0"/>
        </w:rPr>
        <w:t>Crop candidates must pass the model-support threshold max(0.05, 0.25 × best_model_score). This is an implementation heuristic, not a field-validated agronomic threshold. Financial ranking applies only with at least two candidates and complete price/yield/cost information for all candidates. It blends relative model support with min–max normalized profit using the market-priority weight. Equal profits or incomplete information retain suitability order.</w:t>
      </w:r>
    </w:p>
    <w:p>
      <w:r>
        <w:rPr>
          <w:b w:val="0"/>
        </w:rPr>
        <w:t>No genuine market-price file could be fetched during implementation because official endpoints were inaccessible. All 22 price slots and processing paths are implemented, but full real-price coverage is not claimed. Synthetic fixtures used in tests are not installed as production market data.</w:t>
      </w:r>
    </w:p>
    <w:p>
      <w:pPr>
        <w:pStyle w:val="Heading1"/>
      </w:pPr>
      <w:r>
        <w:t>9. Execution Demonstration</w:t>
      </w:r>
    </w:p>
    <w:p>
      <w:pPr>
        <w:pStyle w:val="Heading2"/>
      </w:pPr>
      <w:r>
        <w:t>9.1 Local Windows execution</w:t>
      </w:r>
    </w:p>
    <w:p>
      <w:r>
        <w:rPr>
          <w:b w:val="0"/>
        </w:rPr>
        <w:t>Download the repository ZIP, extract it, install Python 3.12 for Windows x64, and run RUN_APP.bat. The launcher selects a compatible interpreter, creates a separate .venv-windows environment, upgrades pip, installs prebuilt dependencies, and launches the browser after the service is ready. Trained models are included, so ordinary startup does not require retraining.</w:t>
      </w:r>
    </w:p>
    <w:p>
      <w:r>
        <w:rPr>
          <w:b w:val="0"/>
        </w:rPr>
        <w:t>Manual commands in the extracted project folder are:</w:t>
      </w:r>
    </w:p>
    <w:p>
      <w:pPr>
        <w:spacing w:after="60"/>
      </w:pPr>
      <w:r>
        <w:rPr>
          <w:rFonts w:ascii="Consolas" w:hAnsi="Consolas"/>
          <w:sz w:val="18"/>
        </w:rPr>
        <w:t>py -3.12 -m venv .venv-windows</w:t>
      </w:r>
    </w:p>
    <w:p>
      <w:pPr>
        <w:spacing w:after="60"/>
      </w:pPr>
      <w:r>
        <w:rPr>
          <w:rFonts w:ascii="Consolas" w:hAnsi="Consolas"/>
          <w:sz w:val="18"/>
        </w:rPr>
        <w:t>.venv-windows\Scripts\python.exe -m pip install --upgrade pip</w:t>
      </w:r>
    </w:p>
    <w:p>
      <w:pPr>
        <w:spacing w:after="60"/>
      </w:pPr>
      <w:r>
        <w:rPr>
          <w:rFonts w:ascii="Consolas" w:hAnsi="Consolas"/>
          <w:sz w:val="18"/>
        </w:rPr>
        <w:t>.venv-windows\Scripts\python.exe -m pip install --only-binary=:all: -r requirements.lock.txt</w:t>
      </w:r>
    </w:p>
    <w:p>
      <w:pPr>
        <w:spacing w:after="60"/>
      </w:pPr>
      <w:r>
        <w:rPr>
          <w:rFonts w:ascii="Consolas" w:hAnsi="Consolas"/>
          <w:sz w:val="18"/>
        </w:rPr>
        <w:t>.venv-windows\Scripts\python.exe run_local.py</w:t>
      </w:r>
    </w:p>
    <w:p>
      <w:pPr>
        <w:pStyle w:val="Heading2"/>
      </w:pPr>
      <w:r>
        <w:t>9.2 Reproduce training and validation</w:t>
      </w:r>
    </w:p>
    <w:p>
      <w:pPr>
        <w:spacing w:after="60"/>
      </w:pPr>
      <w:r>
        <w:rPr>
          <w:rFonts w:ascii="Consolas" w:hAnsi="Consolas"/>
          <w:sz w:val="18"/>
        </w:rPr>
        <w:t>.venv-windows\Scripts\python.exe train.py</w:t>
      </w:r>
    </w:p>
    <w:p>
      <w:pPr>
        <w:spacing w:after="60"/>
      </w:pPr>
      <w:r>
        <w:rPr>
          <w:rFonts w:ascii="Consolas" w:hAnsi="Consolas"/>
          <w:sz w:val="18"/>
        </w:rPr>
        <w:t>.venv-windows\Scripts\python.exe -m pytest -q</w:t>
      </w:r>
    </w:p>
    <w:p>
      <w:pPr>
        <w:pStyle w:val="Heading2"/>
      </w:pPr>
      <w:r>
        <w:t>9.3 Representative functional demonstration</w:t>
      </w:r>
    </w:p>
    <w:p>
      <w:r>
        <w:rPr>
          <w:b w:val="0"/>
        </w:rPr>
        <w:t>Load the rice demo with N=90, P=42, K=43, temperature=20.9 °C, humidity=82%, pH=6.5, and rainfall=203 mm. Submit the measurements and verify rice is the leading crop for both models. With moderate water availability, confirm the high-water-category caution. This demonstrates the application path; it is not a substitute for the independent held-out evaluation.</w:t>
      </w:r>
    </w:p>
    <w:p>
      <w:r>
        <w:rPr>
          <w:b w:val="0"/>
        </w:rPr>
        <w:t>Next, inspect the 22 crop market-price cards. Import a genuine recent portal export if available, confirm its quintal units, select an appropriate report, and enter yield/cost assumptions. Missing prices should remain unavailable. Download the JSON report to inspect source metadata. No genuine-price demo is claimed without an actual official report.</w:t>
      </w:r>
    </w:p>
    <w:p>
      <w:r>
        <w:rPr>
          <w:b w:val="0"/>
        </w:rPr>
        <w:t>For Render, use build command python -m pip install -r requirements.lock.txt and start command python -m gunicorn app:app --bind 0.0.0.0:$PORT --workers 1 --timeout 120. Set Python 3.12 and add DATA_GOV_API_KEY securely when live lookup is needed. A working production server does not prove official API connectivity.</w:t>
      </w:r>
    </w:p>
    <w:p>
      <w:pPr>
        <w:pStyle w:val="Heading1"/>
      </w:pPr>
      <w:r>
        <w:t>10. Software Validation and Observed Outcomes</w:t>
      </w:r>
    </w:p>
    <w:p>
      <w:r>
        <w:rPr>
          <w:b w:val="0"/>
        </w:rPr>
        <w:t>The current implementation completes 66 pytest tests successfully. Browser smoke checks exercise desktop/mobile behavior, CSV upload, all 22 crop price slots, location filtering, report selection, estimated profit, source attribution, manual overrides, downloadable reports and reset behavior. Linux runtime validation has been executed; a native Windows test run is not claimed. Availability of Windows x64/Python 3.12 wheels for the pinned dependencies was separately checked.</w:t>
      </w:r>
    </w:p>
    <w:tbl>
      <w:tblPr>
        <w:tblStyle w:val="TableGrid"/>
        <w:tblW w:type="auto" w:w="0"/>
        <w:tblLook w:firstColumn="1" w:firstRow="1" w:lastColumn="0" w:lastRow="0" w:noHBand="0" w:noVBand="1" w:val="04A0"/>
      </w:tblPr>
      <w:tblGrid>
        <w:gridCol w:w="4824"/>
        <w:gridCol w:w="4824"/>
      </w:tblGrid>
      <w:tr>
        <w:tc>
          <w:tcPr>
            <w:tcW w:type="dxa" w:w="4824"/>
          </w:tcPr>
          <w:p>
            <w:pPr>
              <w:spacing w:after="60"/>
            </w:pPr>
            <w:r>
              <w:rPr>
                <w:b w:val="0"/>
                <w:sz w:val="18"/>
              </w:rPr>
            </w:r>
            <w:r>
              <w:rPr>
                <w:b/>
                <w:sz w:val="18"/>
              </w:rPr>
              <w:t>Check category</w:t>
            </w:r>
            <w:r>
              <w:rPr>
                <w:b w:val="0"/>
                <w:sz w:val="18"/>
              </w:rPr>
            </w:r>
          </w:p>
        </w:tc>
        <w:tc>
          <w:tcPr>
            <w:tcW w:type="dxa" w:w="4824"/>
          </w:tcPr>
          <w:p>
            <w:pPr>
              <w:spacing w:after="60"/>
            </w:pPr>
            <w:r>
              <w:rPr>
                <w:b w:val="0"/>
                <w:sz w:val="18"/>
              </w:rPr>
            </w:r>
            <w:r>
              <w:rPr>
                <w:b/>
                <w:sz w:val="18"/>
              </w:rPr>
              <w:t>Evidence / outcome</w:t>
            </w:r>
            <w:r>
              <w:rPr>
                <w:b w:val="0"/>
                <w:sz w:val="18"/>
              </w:rPr>
            </w:r>
          </w:p>
        </w:tc>
      </w:tr>
      <w:tr>
        <w:tc>
          <w:tcPr>
            <w:tcW w:type="dxa" w:w="4824"/>
          </w:tcPr>
          <w:p>
            <w:pPr>
              <w:spacing w:after="60"/>
            </w:pPr>
            <w:r>
              <w:rPr>
                <w:b w:val="0"/>
                <w:sz w:val="18"/>
              </w:rPr>
              <w:t>Crop inference</w:t>
            </w:r>
          </w:p>
        </w:tc>
        <w:tc>
          <w:tcPr>
            <w:tcW w:type="dxa" w:w="4824"/>
          </w:tcPr>
          <w:p>
            <w:pPr>
              <w:spacing w:after="60"/>
            </w:pPr>
            <w:r>
              <w:rPr>
                <w:b w:val="0"/>
                <w:sz w:val="18"/>
              </w:rPr>
              <w:t>Both models predict rice for the documented demo inputs</w:t>
            </w:r>
          </w:p>
        </w:tc>
      </w:tr>
      <w:tr>
        <w:tc>
          <w:tcPr>
            <w:tcW w:type="dxa" w:w="4824"/>
          </w:tcPr>
          <w:p>
            <w:pPr>
              <w:spacing w:after="60"/>
            </w:pPr>
            <w:r>
              <w:rPr>
                <w:b w:val="0"/>
                <w:sz w:val="18"/>
              </w:rPr>
              <w:t>Input validation</w:t>
            </w:r>
          </w:p>
        </w:tc>
        <w:tc>
          <w:tcPr>
            <w:tcW w:type="dxa" w:w="4824"/>
          </w:tcPr>
          <w:p>
            <w:pPr>
              <w:spacing w:after="60"/>
            </w:pPr>
            <w:r>
              <w:rPr>
                <w:b w:val="0"/>
                <w:sz w:val="18"/>
              </w:rPr>
              <w:t>Invalid ranges, missing values, non-finite values and unsupported selections are rejected</w:t>
            </w:r>
          </w:p>
        </w:tc>
      </w:tr>
      <w:tr>
        <w:tc>
          <w:tcPr>
            <w:tcW w:type="dxa" w:w="4824"/>
          </w:tcPr>
          <w:p>
            <w:pPr>
              <w:spacing w:after="60"/>
            </w:pPr>
            <w:r>
              <w:rPr>
                <w:b w:val="0"/>
                <w:sz w:val="18"/>
              </w:rPr>
              <w:t>Financial processing</w:t>
            </w:r>
          </w:p>
        </w:tc>
        <w:tc>
          <w:tcPr>
            <w:tcW w:type="dxa" w:w="4824"/>
          </w:tcPr>
          <w:p>
            <w:pPr>
              <w:spacing w:after="60"/>
            </w:pPr>
            <w:r>
              <w:rPr>
                <w:b w:val="0"/>
                <w:sz w:val="18"/>
              </w:rPr>
              <w:t>Profit formula, candidate restrictions and incomplete-data safeguards pass</w:t>
            </w:r>
          </w:p>
        </w:tc>
      </w:tr>
      <w:tr>
        <w:tc>
          <w:tcPr>
            <w:tcW w:type="dxa" w:w="4824"/>
          </w:tcPr>
          <w:p>
            <w:pPr>
              <w:spacing w:after="60"/>
            </w:pPr>
            <w:r>
              <w:rPr>
                <w:b w:val="0"/>
                <w:sz w:val="18"/>
              </w:rPr>
              <w:t>Market processing</w:t>
            </w:r>
          </w:p>
        </w:tc>
        <w:tc>
          <w:tcPr>
            <w:tcW w:type="dxa" w:w="4824"/>
          </w:tcPr>
          <w:p>
            <w:pPr>
              <w:spacing w:after="60"/>
            </w:pPr>
            <w:r>
              <w:rPr>
                <w:b w:val="0"/>
                <w:sz w:val="18"/>
              </w:rPr>
              <w:t>Mocked API responses and CSV fixtures validate unit conversion, dates, provenance and errors</w:t>
            </w:r>
          </w:p>
        </w:tc>
      </w:tr>
      <w:tr>
        <w:tc>
          <w:tcPr>
            <w:tcW w:type="dxa" w:w="4824"/>
          </w:tcPr>
          <w:p>
            <w:pPr>
              <w:spacing w:after="60"/>
            </w:pPr>
            <w:r>
              <w:rPr>
                <w:b w:val="0"/>
                <w:sz w:val="18"/>
              </w:rPr>
              <w:t>Crop price coverage</w:t>
            </w:r>
          </w:p>
        </w:tc>
        <w:tc>
          <w:tcPr>
            <w:tcW w:type="dxa" w:w="4824"/>
          </w:tcPr>
          <w:p>
            <w:pPr>
              <w:spacing w:after="60"/>
            </w:pPr>
            <w:r>
              <w:rPr>
                <w:b w:val="0"/>
                <w:sz w:val="18"/>
              </w:rPr>
              <w:t>All 22 crop slots render; commodity and location filters are checked; missing/stale prices remain unusable</w:t>
            </w:r>
          </w:p>
        </w:tc>
      </w:tr>
      <w:tr>
        <w:tc>
          <w:tcPr>
            <w:tcW w:type="dxa" w:w="4824"/>
          </w:tcPr>
          <w:p>
            <w:pPr>
              <w:spacing w:after="60"/>
            </w:pPr>
            <w:r>
              <w:rPr>
                <w:b w:val="0"/>
                <w:sz w:val="18"/>
              </w:rPr>
              <w:t>Deployment runtime</w:t>
            </w:r>
          </w:p>
        </w:tc>
        <w:tc>
          <w:tcPr>
            <w:tcW w:type="dxa" w:w="4824"/>
          </w:tcPr>
          <w:p>
            <w:pPr>
              <w:spacing w:after="60"/>
            </w:pPr>
            <w:r>
              <w:rPr>
                <w:b w:val="0"/>
                <w:sz w:val="18"/>
              </w:rPr>
              <w:t>Gunicorn startup and a representative crop request were verified locally</w:t>
            </w:r>
          </w:p>
        </w:tc>
      </w:tr>
      <w:tr>
        <w:tc>
          <w:tcPr>
            <w:tcW w:type="dxa" w:w="4824"/>
          </w:tcPr>
          <w:p>
            <w:pPr>
              <w:spacing w:after="60"/>
            </w:pPr>
            <w:r>
              <w:rPr>
                <w:b w:val="0"/>
                <w:sz w:val="18"/>
              </w:rPr>
              <w:t>Live official API</w:t>
            </w:r>
          </w:p>
        </w:tc>
        <w:tc>
          <w:tcPr>
            <w:tcW w:type="dxa" w:w="4824"/>
          </w:tcPr>
          <w:p>
            <w:pPr>
              <w:spacing w:after="60"/>
            </w:pPr>
            <w:r>
              <w:rPr>
                <w:b w:val="0"/>
                <w:sz w:val="18"/>
              </w:rPr>
              <w:t>Unresolved: connection failures; no successful authenticated price fetch is claimed</w:t>
            </w:r>
          </w:p>
        </w:tc>
      </w:tr>
    </w:tbl>
    <w:p/>
    <w:p>
      <w:r>
        <w:rPr>
          <w:b w:val="0"/>
        </w:rPr>
        <w:t>API tests use controlled synthetic fixtures and mocked network responses. Their success validates application behavior, not availability or correctness of a live portal response. Safe diagnostic codes distinguish missing credentials, refused/reset connections, DNS errors, timeouts, TLS problems, rate limiting and HTTP errors without logging the key or credential-bearing request URLs.</w:t>
      </w:r>
    </w:p>
    <w:p>
      <w:pPr>
        <w:pStyle w:val="Heading1"/>
      </w:pPr>
      <w:r>
        <w:t>11. Constraints, Responsible Use and Future Improvements</w:t>
      </w:r>
    </w:p>
    <w:p>
      <w:r>
        <w:rPr>
          <w:b w:val="0"/>
        </w:rPr>
        <w:t>The principal limitations are a small single-source dataset, uncertain transfer across regions/seasons, uncalibrated model probabilities, unspecified nutrient-unit conversions and rainfall periods, and user-dependent financial assumptions. Price reporting may omit crops or use unsuitable commodity forms/units. Quote references are process-local and need a shared store before multi-worker scaling. TLS verification remains enabled; credentials are environment settings rather than source code.</w:t>
      </w:r>
    </w:p>
    <w:p>
      <w:r>
        <w:rPr>
          <w:b w:val="0"/>
        </w:rPr>
        <w:t>Water-demand categories and legume rotation notes are illustrative planning heuristics. The project does not measure irrigation volumes, fertilizer reductions or environmental benefit. It has conceptual relevance to SDG 2 and SDG 12, but measurable impact requires agricultural validation and field studies. Farmers should confirm local crop suitability with agricultural experts.</w:t>
      </w:r>
    </w:p>
    <w:p>
      <w:r>
        <w:rPr>
          <w:b w:val="0"/>
        </w:rPr>
        <w:t>Future improvements include geographically and seasonally representative datasets, grouped/cross-regional validation, calibrated scores, expert-validated water requirements, reliable market access, a persistent shared quote store, accessibility/local-language work, and field evaluation.</w:t>
      </w:r>
    </w:p>
    <w:p>
      <w:pPr>
        <w:pStyle w:val="Heading1"/>
      </w:pPr>
      <w:r>
        <w:t>12. Conclusion</w:t>
      </w:r>
    </w:p>
    <w:p>
      <w:r>
        <w:rPr>
          <w:b w:val="0"/>
        </w:rPr>
        <w:t>Terra implements an end-to-end Python crop recommendation pipeline with two trained tree-ensemble models, reproducible validation, modular request handling, and transparent market-data processing. Its architecture and execution demonstrate the two Assessment 2 components. The application and market-price processing capabilities have been tested, while genuine live-price availability and real-world agricultural performance remain explicit unresolved requirements. The prototype is a basis for further regional validation rather than a guaranteed planting or income recommendation.</w:t>
      </w:r>
    </w:p>
    <w:p>
      <w:pPr>
        <w:pStyle w:val="Heading1"/>
      </w:pPr>
      <w:r>
        <w:t>References</w:t>
      </w:r>
    </w:p>
    <w:p>
      <w:r>
        <w:rPr>
          <w:b w:val="0"/>
        </w:rPr>
        <w:t>1. Atharva Ingle. Crop Recommendation Dataset. Kaggle. https://www.kaggle.com/datasets/atharvaingle/crop-recommendation-dataset</w:t>
      </w:r>
    </w:p>
    <w:p>
      <w:r>
        <w:rPr>
          <w:b w:val="0"/>
        </w:rPr>
        <w:t>2. Harvestify. Public crop-recommendation CSV mirror. https://raw.githubusercontent.com/Gladiator07/Harvestify/master/Data-processed/crop_recommendation.csv</w:t>
      </w:r>
    </w:p>
    <w:p>
      <w:r>
        <w:rPr>
          <w:b w:val="0"/>
        </w:rPr>
        <w:t>3. Breiman, L. (2001). Random Forests. Machine Learning, 45, 5–32. https://doi.org/10.1023/A:1010933404324</w:t>
      </w:r>
    </w:p>
    <w:p>
      <w:r>
        <w:rPr>
          <w:b w:val="0"/>
        </w:rPr>
        <w:t>4. Chen, T., and Guestrin, C. (2016). XGBoost: A Scalable Tree Boosting System. Proceedings of KDD, 785–794. https://doi.org/10.1145/2939672.2939785</w:t>
      </w:r>
    </w:p>
    <w:p>
      <w:r>
        <w:rPr>
          <w:b w:val="0"/>
        </w:rPr>
        <w:t>5. Government of India. Current daily price of various commodities from various markets (Mandi). data.gov.in, resource 9ef84268-d588-465a-a308-a864a43d0070. https://www.data.gov.in/resource/current-daily-price-various-commodities-various-markets-mandi</w:t>
      </w:r>
    </w:p>
    <w:p>
      <w:r>
        <w:rPr>
          <w:b w:val="0"/>
        </w:rPr>
        <w:t>6. scikit-learn. RandomForestClassifier documentation. https://scikit-learn.org/stable/modules/generated/sklearn.ensemble.RandomForestClassifier.html</w:t>
      </w:r>
    </w:p>
    <w:p>
      <w:r>
        <w:rPr>
          <w:b w:val="0"/>
        </w:rPr>
        <w:t>7. PySustain-2026. Intelligent Solutions for Sustainable Agriculture Assessment. Supplied course assessment PDF, Assessment 2: Core Implementation &amp; Validation.</w:t>
      </w:r>
    </w:p>
    <w:sectPr w:rsidR="00FC693F" w:rsidRPr="0006063C" w:rsidSect="00034616">
      <w:footerReference w:type="default" r:id="rId9"/>
      <w:headerReference w:type="default" r:id="rId10"/>
      <w:pgSz w:w="11952" w:h="1684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Terra | Assessment 2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PySustain-2026 · BACSE101 · Core Implementation &amp;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4B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4B3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 — Assessment 2: Core Implementation &amp; Validation</dc:title>
  <dc:subject>PySustain-2026, BACSE101, Sustainable Agriculture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