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7354"/>
          <w:sz w:val="60"/>
        </w:rPr>
        <w:t>TERRA</w:t>
      </w:r>
    </w:p>
    <w:p>
      <w:pPr>
        <w:jc w:val="center"/>
      </w:pPr>
      <w:r>
        <w:rPr>
          <w:b/>
          <w:color w:val="197354"/>
          <w:sz w:val="34"/>
        </w:rPr>
        <w:t>AI-Assisted Crop Recommendation and Market Price Planning</w:t>
      </w:r>
    </w:p>
    <w:p>
      <w:pPr>
        <w:jc w:val="center"/>
      </w:pPr>
      <w:r>
        <w:rPr>
          <w:b/>
          <w:color w:val="197354"/>
          <w:sz w:val="30"/>
        </w:rPr>
        <w:t>Project Assessment 3</w:t>
      </w:r>
    </w:p>
    <w:p>
      <w:pPr>
        <w:jc w:val="center"/>
      </w:pPr>
      <w:r>
        <w:rPr>
          <w:b/>
          <w:color w:val="197354"/>
          <w:sz w:val="28"/>
        </w:rPr>
        <w:t>Evaluation, Impact &amp; Communication</w:t>
      </w:r>
    </w:p>
    <w:p>
      <w:r>
        <w:t>PySustain-2026 — Code for a Sustainable Tomorrow</w:t>
      </w:r>
    </w:p>
    <w:p>
      <w:r>
        <w:t>BACSE101 — Problem Solving using Python</w:t>
      </w:r>
    </w:p>
    <w:p>
      <w:r>
        <w:t>Track: Intelligent Solutions for Sustainable Agriculture</w:t>
      </w:r>
    </w:p>
    <w:p>
      <w:r>
        <w:t>Report date: 11 October 2026</w:t>
      </w:r>
    </w:p>
    <w:p>
      <w:r>
        <w:t>Repository: https://github.com/ravikumar24011970/Crop-recommendation-system</w:t>
      </w:r>
    </w:p>
    <w:p>
      <w:r>
        <w:t>Evidence: models/metrics.json, train.py, app.py, market.py and the project test suite.</w:t>
      </w:r>
    </w:p>
    <w:p>
      <w:r>
        <w:t>This report presents prototype results and an agricultural impact evaluation plan. It does not claim measured farm-level gains or independently verified public deployment.</w:t>
      </w:r>
    </w:p>
    <w:p>
      <w:r>
        <w:br w:type="page"/>
      </w:r>
    </w:p>
    <w:p>
      <w:pPr>
        <w:pStyle w:val="Heading1"/>
      </w:pPr>
      <w:r>
        <w:t>Abstract</w:t>
      </w:r>
    </w:p>
    <w:p>
      <w:r>
        <w:t>Terra is a Python-based decision-support application that recommends crops from seven soil and climate measurements and supports financial planning using reported market prices. Random Forest and XGBoost were trained on 2,200 records representing 22 crop classes. A reproducible stratified split separates training, validation and testing. Random Forest was selected using validation macro F1 and achieved 99.32% accuracy and 99.32% macro F1 on 440 held-out test records; XGBoost achieved 98.86% accuracy and 98.85% macro F1. Error analysis identifies a small number of confusions that require further regional validation. Market data is processed separately from model training, with source, date and unit checks. The prototype has 66 passing automated tests and recorded browser checks. This report interprets the results, prepares the technical defence, and maps the proposed solution to SDG 2 and SDG 12 using a measurable field-evaluation framework. Income improvements, water savings and environmental gains remain hypotheses requiring agricultural trials.</w:t>
      </w:r>
    </w:p>
    <w:p>
      <w:pPr>
        <w:pStyle w:val="Heading1"/>
      </w:pPr>
      <w:r>
        <w:t>1. Assessment Scope and Project Contribution</w:t>
      </w:r>
    </w:p>
    <w:p>
      <w:r>
        <w:t>Assessment 3 assigns 5 marks to Results, Interpretation and Viva, and 5 marks to SDG and Societal Impact. Accordingly, this report concentrates on quantitative evaluation, explanation of findings, technical communication, agricultural feasibility, responsible AI and deployment readiness. It complements the implementation report for Assessment 2.</w:t>
      </w:r>
    </w:p>
    <w:tbl>
      <w:tblPr>
        <w:tblStyle w:val="TableGrid"/>
        <w:tblW w:type="auto" w:w="0"/>
        <w:tblLook w:firstColumn="1" w:firstRow="1" w:lastColumn="0" w:lastRow="0" w:noHBand="0" w:noVBand="1" w:val="04A0"/>
      </w:tblPr>
      <w:tblGrid>
        <w:gridCol w:w="4824"/>
        <w:gridCol w:w="4824"/>
      </w:tblGrid>
      <w:tr>
        <w:trPr>
          <w:tblHeader/>
        </w:trPr>
        <w:tc>
          <w:tcPr>
            <w:tcW w:type="dxa" w:w="4824"/>
          </w:tcPr>
          <w:p>
            <w:r>
              <w:rPr>
                <w:sz w:val="18"/>
              </w:rPr>
              <w:t>Assessment component</w:t>
            </w:r>
          </w:p>
        </w:tc>
        <w:tc>
          <w:tcPr>
            <w:tcW w:type="dxa" w:w="4824"/>
          </w:tcPr>
          <w:p>
            <w:r>
              <w:rPr>
                <w:sz w:val="18"/>
              </w:rPr>
              <w:t>Evidence in this report</w:t>
            </w:r>
          </w:p>
        </w:tc>
      </w:tr>
      <w:tr>
        <w:tc>
          <w:tcPr>
            <w:tcW w:type="dxa" w:w="4824"/>
          </w:tcPr>
          <w:p>
            <w:r>
              <w:rPr>
                <w:sz w:val="18"/>
              </w:rPr>
              <w:t>Results, interpretation and viva — 5 marks</w:t>
            </w:r>
          </w:p>
        </w:tc>
        <w:tc>
          <w:tcPr>
            <w:tcW w:type="dxa" w:w="4824"/>
          </w:tcPr>
          <w:p>
            <w:r>
              <w:rPr>
                <w:sz w:val="18"/>
              </w:rPr>
              <w:t>Independent test metrics; class-wise evaluation; confusion analysis; feature interpretation; demonstration and viva answers.</w:t>
            </w:r>
          </w:p>
        </w:tc>
      </w:tr>
      <w:tr>
        <w:tc>
          <w:tcPr>
            <w:tcW w:type="dxa" w:w="4824"/>
          </w:tcPr>
          <w:p>
            <w:r>
              <w:rPr>
                <w:sz w:val="18"/>
              </w:rPr>
              <w:t>SDG and societal impact — 5 marks</w:t>
            </w:r>
          </w:p>
        </w:tc>
        <w:tc>
          <w:tcPr>
            <w:tcW w:type="dxa" w:w="4824"/>
          </w:tcPr>
          <w:p>
            <w:r>
              <w:rPr>
                <w:sz w:val="18"/>
              </w:rPr>
              <w:t>SDG 2 and SDG 12 mapping; proposed field measurements; farmer accessibility; feasibility, ethics and deployment status.</w:t>
            </w:r>
          </w:p>
        </w:tc>
      </w:tr>
    </w:tbl>
    <w:p>
      <w:r>
        <w:t>The project contribution is an accessible workflow connecting agronomic classification and transparent economic scenarios. The model predicts a crop label from nitrogen, phosphorus, potassium, temperature, humidity, pH and rainfall. Price, yield and cultivation cost are separate planning inputs; they are not learned features in the supplied classification dataset.</w:t>
      </w:r>
    </w:p>
    <w:p>
      <w:pPr>
        <w:pStyle w:val="Heading1"/>
      </w:pPr>
      <w:r>
        <w:t>2. Evaluation Methodology</w:t>
      </w:r>
    </w:p>
    <w:p>
      <w:r>
        <w:t>The dataset contains 100 records for each crop. The seed-42 stratified split creates 1,320 training records, 440 validation records and 440 test records. Each crop therefore contributes 60 training, 20 validation and 20 test examples. Both algorithms are initially trained on the training partition. The higher validation macro-F1 score selects the default algorithm. Both models are then refitted on the 1,760 training-plus-validation records and evaluated on the untouched test partition. The saved serving models retain this separation.</w:t>
      </w:r>
    </w:p>
    <w:p>
      <w:r>
        <w:t>Random Forest uses 300 trees and square-root feature selection. XGBoost uses 250 boosting rounds, maximum depth 4, learning rate 0.08, subsample 0.9 and column subsample 0.9 with multiclass probabilities. Labels are encoded; tree models use the seven numerical inputs without scaling or synthetic augmentation. The data pipeline checks schema, missing values, duplicates and non-finite values. No cross-validation, hyperparameter search, external geographical holdout or repeated-seed study is claimed.</w:t>
      </w:r>
    </w:p>
    <w:p>
      <w:r>
        <w:t>Accuracy measures the fraction of correctly classified test records. Precision measures how often a crop prediction is correct, recall measures the proportion of actual crop records retrieved, and F1 is the harmonic mean of precision and recall. Macro averaging gives every crop equal weight. Because classes have equal test support, weighted and macro results are nearly identical. MAE and RMSE are not applicable to this crop-label classifier; market prices and yield are not predicted by a regression model.</w:t>
      </w:r>
    </w:p>
    <w:p>
      <w:r>
        <w:br w:type="page"/>
      </w:r>
    </w:p>
    <w:p>
      <w:pPr>
        <w:pStyle w:val="Heading1"/>
      </w:pPr>
      <w:r>
        <w:t>3. Quantitative Results and Interpretation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rPr>
                <w:sz w:val="18"/>
              </w:rPr>
              <w:t>Model</w:t>
            </w:r>
          </w:p>
        </w:tc>
        <w:tc>
          <w:tcPr>
            <w:tcW w:type="dxa" w:w="1608"/>
          </w:tcPr>
          <w:p>
            <w:r>
              <w:rPr>
                <w:sz w:val="18"/>
              </w:rPr>
              <w:t>Validation F1</w:t>
            </w:r>
          </w:p>
        </w:tc>
        <w:tc>
          <w:tcPr>
            <w:tcW w:type="dxa" w:w="1608"/>
          </w:tcPr>
          <w:p>
            <w:r>
              <w:rPr>
                <w:sz w:val="18"/>
              </w:rPr>
              <w:t>Test accuracy</w:t>
            </w:r>
          </w:p>
        </w:tc>
        <w:tc>
          <w:tcPr>
            <w:tcW w:type="dxa" w:w="1608"/>
          </w:tcPr>
          <w:p>
            <w:r>
              <w:rPr>
                <w:sz w:val="18"/>
              </w:rPr>
              <w:t>Macro precision</w:t>
            </w:r>
          </w:p>
        </w:tc>
        <w:tc>
          <w:tcPr>
            <w:tcW w:type="dxa" w:w="1608"/>
          </w:tcPr>
          <w:p>
            <w:r>
              <w:rPr>
                <w:sz w:val="18"/>
              </w:rPr>
              <w:t>Macro recall</w:t>
            </w:r>
          </w:p>
        </w:tc>
        <w:tc>
          <w:tcPr>
            <w:tcW w:type="dxa" w:w="1608"/>
          </w:tcPr>
          <w:p>
            <w:r>
              <w:rPr>
                <w:sz w:val="18"/>
              </w:rPr>
              <w:t>Macro F1</w:t>
            </w:r>
          </w:p>
        </w:tc>
      </w:tr>
      <w:tr>
        <w:tc>
          <w:tcPr>
            <w:tcW w:type="dxa" w:w="1608"/>
          </w:tcPr>
          <w:p>
            <w:r>
              <w:rPr>
                <w:sz w:val="18"/>
              </w:rPr>
              <w:t>Random Forest</w:t>
            </w:r>
          </w:p>
        </w:tc>
        <w:tc>
          <w:tcPr>
            <w:tcW w:type="dxa" w:w="1608"/>
          </w:tcPr>
          <w:p>
            <w:r>
              <w:rPr>
                <w:sz w:val="18"/>
              </w:rPr>
              <w:t>99.32%</w:t>
            </w:r>
          </w:p>
        </w:tc>
        <w:tc>
          <w:tcPr>
            <w:tcW w:type="dxa" w:w="1608"/>
          </w:tcPr>
          <w:p>
            <w:r>
              <w:rPr>
                <w:sz w:val="18"/>
              </w:rPr>
              <w:t>99.32%</w:t>
            </w:r>
          </w:p>
        </w:tc>
        <w:tc>
          <w:tcPr>
            <w:tcW w:type="dxa" w:w="1608"/>
          </w:tcPr>
          <w:p>
            <w:r>
              <w:rPr>
                <w:sz w:val="18"/>
              </w:rPr>
              <w:t>99.35%</w:t>
            </w:r>
          </w:p>
        </w:tc>
        <w:tc>
          <w:tcPr>
            <w:tcW w:type="dxa" w:w="1608"/>
          </w:tcPr>
          <w:p>
            <w:r>
              <w:rPr>
                <w:sz w:val="18"/>
              </w:rPr>
              <w:t>99.32%</w:t>
            </w:r>
          </w:p>
        </w:tc>
        <w:tc>
          <w:tcPr>
            <w:tcW w:type="dxa" w:w="1608"/>
          </w:tcPr>
          <w:p>
            <w:r>
              <w:rPr>
                <w:sz w:val="18"/>
              </w:rPr>
              <w:t>99.32%</w:t>
            </w:r>
          </w:p>
        </w:tc>
      </w:tr>
      <w:tr>
        <w:tc>
          <w:tcPr>
            <w:tcW w:type="dxa" w:w="1608"/>
          </w:tcPr>
          <w:p>
            <w:r>
              <w:rPr>
                <w:sz w:val="18"/>
              </w:rPr>
              <w:t>XGBoost</w:t>
            </w:r>
          </w:p>
        </w:tc>
        <w:tc>
          <w:tcPr>
            <w:tcW w:type="dxa" w:w="1608"/>
          </w:tcPr>
          <w:p>
            <w:r>
              <w:rPr>
                <w:sz w:val="18"/>
              </w:rPr>
              <w:t>99.09%</w:t>
            </w:r>
          </w:p>
        </w:tc>
        <w:tc>
          <w:tcPr>
            <w:tcW w:type="dxa" w:w="1608"/>
          </w:tcPr>
          <w:p>
            <w:r>
              <w:rPr>
                <w:sz w:val="18"/>
              </w:rPr>
              <w:t>98.86%</w:t>
            </w:r>
          </w:p>
        </w:tc>
        <w:tc>
          <w:tcPr>
            <w:tcW w:type="dxa" w:w="1608"/>
          </w:tcPr>
          <w:p>
            <w:r>
              <w:rPr>
                <w:sz w:val="18"/>
              </w:rPr>
              <w:t>98.94%</w:t>
            </w:r>
          </w:p>
        </w:tc>
        <w:tc>
          <w:tcPr>
            <w:tcW w:type="dxa" w:w="1608"/>
          </w:tcPr>
          <w:p>
            <w:r>
              <w:rPr>
                <w:sz w:val="18"/>
              </w:rPr>
              <w:t>98.86%</w:t>
            </w:r>
          </w:p>
        </w:tc>
        <w:tc>
          <w:tcPr>
            <w:tcW w:type="dxa" w:w="1608"/>
          </w:tcPr>
          <w:p>
            <w:r>
              <w:rPr>
                <w:sz w:val="18"/>
              </w:rPr>
              <w:t>98.85%</w:t>
            </w:r>
          </w:p>
        </w:tc>
      </w:tr>
    </w:tbl>
    <w:p>
      <w:r>
        <w:drawing>
          <wp:inline xmlns:a="http://schemas.openxmlformats.org/drawingml/2006/main" xmlns:pic="http://schemas.openxmlformats.org/drawingml/2006/picture">
            <wp:extent cx="5669280" cy="2480310"/>
            <wp:docPr id="1" name="Picture 1"/>
            <wp:cNvGraphicFramePr>
              <a:graphicFrameLocks noChangeAspect="1"/>
            </wp:cNvGraphicFramePr>
            <a:graphic>
              <a:graphicData uri="http://schemas.openxmlformats.org/drawingml/2006/picture">
                <pic:pic>
                  <pic:nvPicPr>
                    <pic:cNvPr id="0" name="Terra_Assessment_3_Model_Comparison.png"/>
                    <pic:cNvPicPr/>
                  </pic:nvPicPr>
                  <pic:blipFill>
                    <a:blip r:embed="rId12"/>
                    <a:stretch>
                      <a:fillRect/>
                    </a:stretch>
                  </pic:blipFill>
                  <pic:spPr>
                    <a:xfrm>
                      <a:off x="0" y="0"/>
                      <a:ext cx="5669280" cy="2480310"/>
                    </a:xfrm>
                    <a:prstGeom prst="rect"/>
                  </pic:spPr>
                </pic:pic>
              </a:graphicData>
            </a:graphic>
          </wp:inline>
        </w:drawing>
      </w:r>
    </w:p>
    <w:p>
      <w:r>
        <w:t>Figure 1. Metrics from the same 440-record held-out test set. The vertical axis starts at zero to preserve the scale of the small observed difference.</w:t>
      </w:r>
    </w:p>
    <w:p>
      <w:r>
        <w:t>Random Forest correctly classifies 437 of 440 test records, while XGBoost correctly classifies 435. The accuracy difference is 0.45 percentage points, equivalent to two test records. Random Forest also has the higher validation macro F1 (99.32% versus 99.09%), which is the actual selection criterion. These observations support its default role for this dataset and split. They do not establish statistically significant superiority or general superiority across agricultural settings.</w:t>
      </w:r>
    </w:p>
    <w:p>
      <w:r>
        <w:t>A simple majority-class baseline would achieve 1/22, or approximately 4.55%, on this balanced test set. This is a calculated reference rather than an independently trained baseline experiment. High benchmark performance may reflect easily separable crop patterns; it does not prove that the dataset represents all farms, seasons, soil tests or weather conditions.</w:t>
      </w:r>
    </w:p>
    <w:p>
      <w:pPr>
        <w:pStyle w:val="Heading1"/>
      </w:pPr>
      <w:r>
        <w:t>4. Crop-Level Results and Error Analysis</w:t>
      </w:r>
    </w:p>
    <w:p>
      <w:r>
        <w:t>Every crop has 20 test examples. The table reports recall and F1 as percentages for all 22 crops. A perfect score on 20 records should be interpreted as success on this small sample, not evidence of a universally error-free recommendation.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trPr>
        <w:tc>
          <w:tcPr>
            <w:tcW w:type="dxa" w:w="1608"/>
          </w:tcPr>
          <w:p>
            <w:r>
              <w:rPr>
                <w:sz w:val="18"/>
              </w:rPr>
              <w:t>Crop</w:t>
            </w:r>
          </w:p>
        </w:tc>
        <w:tc>
          <w:tcPr>
            <w:tcW w:type="dxa" w:w="1608"/>
          </w:tcPr>
          <w:p>
            <w:r>
              <w:rPr>
                <w:sz w:val="18"/>
              </w:rPr>
              <w:t>Support</w:t>
            </w:r>
          </w:p>
        </w:tc>
        <w:tc>
          <w:tcPr>
            <w:tcW w:type="dxa" w:w="1608"/>
          </w:tcPr>
          <w:p>
            <w:r>
              <w:rPr>
                <w:sz w:val="18"/>
              </w:rPr>
              <w:t>RF recall %</w:t>
            </w:r>
          </w:p>
        </w:tc>
        <w:tc>
          <w:tcPr>
            <w:tcW w:type="dxa" w:w="1608"/>
          </w:tcPr>
          <w:p>
            <w:r>
              <w:rPr>
                <w:sz w:val="18"/>
              </w:rPr>
              <w:t>RF F1 %</w:t>
            </w:r>
          </w:p>
        </w:tc>
        <w:tc>
          <w:tcPr>
            <w:tcW w:type="dxa" w:w="1608"/>
          </w:tcPr>
          <w:p>
            <w:r>
              <w:rPr>
                <w:sz w:val="18"/>
              </w:rPr>
              <w:t>XGB recall %</w:t>
            </w:r>
          </w:p>
        </w:tc>
        <w:tc>
          <w:tcPr>
            <w:tcW w:type="dxa" w:w="1608"/>
          </w:tcPr>
          <w:p>
            <w:r>
              <w:rPr>
                <w:sz w:val="18"/>
              </w:rPr>
              <w:t>XGB F1 %</w:t>
            </w:r>
          </w:p>
        </w:tc>
      </w:tr>
      <w:tr>
        <w:tc>
          <w:tcPr>
            <w:tcW w:type="dxa" w:w="1608"/>
          </w:tcPr>
          <w:p>
            <w:r>
              <w:rPr>
                <w:sz w:val="18"/>
              </w:rPr>
              <w:t>Apple</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Banana</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Blackgram</w:t>
            </w:r>
          </w:p>
        </w:tc>
        <w:tc>
          <w:tcPr>
            <w:tcW w:type="dxa" w:w="1608"/>
          </w:tcPr>
          <w:p>
            <w:r>
              <w:rPr>
                <w:sz w:val="18"/>
              </w:rPr>
              <w:t>20</w:t>
            </w:r>
          </w:p>
        </w:tc>
        <w:tc>
          <w:tcPr>
            <w:tcW w:type="dxa" w:w="1608"/>
          </w:tcPr>
          <w:p>
            <w:r>
              <w:rPr>
                <w:sz w:val="18"/>
              </w:rPr>
              <w:t>95.00</w:t>
            </w:r>
          </w:p>
        </w:tc>
        <w:tc>
          <w:tcPr>
            <w:tcW w:type="dxa" w:w="1608"/>
          </w:tcPr>
          <w:p>
            <w:r>
              <w:rPr>
                <w:sz w:val="18"/>
              </w:rPr>
              <w:t>97.44</w:t>
            </w:r>
          </w:p>
        </w:tc>
        <w:tc>
          <w:tcPr>
            <w:tcW w:type="dxa" w:w="1608"/>
          </w:tcPr>
          <w:p>
            <w:r>
              <w:rPr>
                <w:sz w:val="18"/>
              </w:rPr>
              <w:t>100.00</w:t>
            </w:r>
          </w:p>
        </w:tc>
        <w:tc>
          <w:tcPr>
            <w:tcW w:type="dxa" w:w="1608"/>
          </w:tcPr>
          <w:p>
            <w:r>
              <w:rPr>
                <w:sz w:val="18"/>
              </w:rPr>
              <w:t>97.56</w:t>
            </w:r>
          </w:p>
        </w:tc>
      </w:tr>
      <w:tr>
        <w:tc>
          <w:tcPr>
            <w:tcW w:type="dxa" w:w="1608"/>
          </w:tcPr>
          <w:p>
            <w:r>
              <w:rPr>
                <w:sz w:val="18"/>
              </w:rPr>
              <w:t>Chickpea</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Coconut</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Coffee</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Cotton</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Grapes</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Jute</w:t>
            </w:r>
          </w:p>
        </w:tc>
        <w:tc>
          <w:tcPr>
            <w:tcW w:type="dxa" w:w="1608"/>
          </w:tcPr>
          <w:p>
            <w:r>
              <w:rPr>
                <w:sz w:val="18"/>
              </w:rPr>
              <w:t>20</w:t>
            </w:r>
          </w:p>
        </w:tc>
        <w:tc>
          <w:tcPr>
            <w:tcW w:type="dxa" w:w="1608"/>
          </w:tcPr>
          <w:p>
            <w:r>
              <w:rPr>
                <w:sz w:val="18"/>
              </w:rPr>
              <w:t>100.00</w:t>
            </w:r>
          </w:p>
        </w:tc>
        <w:tc>
          <w:tcPr>
            <w:tcW w:type="dxa" w:w="1608"/>
          </w:tcPr>
          <w:p>
            <w:r>
              <w:rPr>
                <w:sz w:val="18"/>
              </w:rPr>
              <w:t>97.56</w:t>
            </w:r>
          </w:p>
        </w:tc>
        <w:tc>
          <w:tcPr>
            <w:tcW w:type="dxa" w:w="1608"/>
          </w:tcPr>
          <w:p>
            <w:r>
              <w:rPr>
                <w:sz w:val="18"/>
              </w:rPr>
              <w:t>100.00</w:t>
            </w:r>
          </w:p>
        </w:tc>
        <w:tc>
          <w:tcPr>
            <w:tcW w:type="dxa" w:w="1608"/>
          </w:tcPr>
          <w:p>
            <w:r>
              <w:rPr>
                <w:sz w:val="18"/>
              </w:rPr>
              <w:t>97.56</w:t>
            </w:r>
          </w:p>
        </w:tc>
      </w:tr>
      <w:tr>
        <w:tc>
          <w:tcPr>
            <w:tcW w:type="dxa" w:w="1608"/>
          </w:tcPr>
          <w:p>
            <w:r>
              <w:rPr>
                <w:sz w:val="18"/>
              </w:rPr>
              <w:t>Kidneybeans</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Lentil</w:t>
            </w:r>
          </w:p>
        </w:tc>
        <w:tc>
          <w:tcPr>
            <w:tcW w:type="dxa" w:w="1608"/>
          </w:tcPr>
          <w:p>
            <w:r>
              <w:rPr>
                <w:sz w:val="18"/>
              </w:rPr>
              <w:t>20</w:t>
            </w:r>
          </w:p>
        </w:tc>
        <w:tc>
          <w:tcPr>
            <w:tcW w:type="dxa" w:w="1608"/>
          </w:tcPr>
          <w:p>
            <w:r>
              <w:rPr>
                <w:sz w:val="18"/>
              </w:rPr>
              <w:t>95.00</w:t>
            </w:r>
          </w:p>
        </w:tc>
        <w:tc>
          <w:tcPr>
            <w:tcW w:type="dxa" w:w="1608"/>
          </w:tcPr>
          <w:p>
            <w:r>
              <w:rPr>
                <w:sz w:val="18"/>
              </w:rPr>
              <w:t>97.44</w:t>
            </w:r>
          </w:p>
        </w:tc>
        <w:tc>
          <w:tcPr>
            <w:tcW w:type="dxa" w:w="1608"/>
          </w:tcPr>
          <w:p>
            <w:r>
              <w:rPr>
                <w:sz w:val="18"/>
              </w:rPr>
              <w:t>85.00</w:t>
            </w:r>
          </w:p>
        </w:tc>
        <w:tc>
          <w:tcPr>
            <w:tcW w:type="dxa" w:w="1608"/>
          </w:tcPr>
          <w:p>
            <w:r>
              <w:rPr>
                <w:sz w:val="18"/>
              </w:rPr>
              <w:t>91.89</w:t>
            </w:r>
          </w:p>
        </w:tc>
      </w:tr>
      <w:tr>
        <w:tc>
          <w:tcPr>
            <w:tcW w:type="dxa" w:w="1608"/>
          </w:tcPr>
          <w:p>
            <w:r>
              <w:rPr>
                <w:sz w:val="18"/>
              </w:rPr>
              <w:t>Maize</w:t>
            </w:r>
          </w:p>
        </w:tc>
        <w:tc>
          <w:tcPr>
            <w:tcW w:type="dxa" w:w="1608"/>
          </w:tcPr>
          <w:p>
            <w:r>
              <w:rPr>
                <w:sz w:val="18"/>
              </w:rPr>
              <w:t>20</w:t>
            </w:r>
          </w:p>
        </w:tc>
        <w:tc>
          <w:tcPr>
            <w:tcW w:type="dxa" w:w="1608"/>
          </w:tcPr>
          <w:p>
            <w:r>
              <w:rPr>
                <w:sz w:val="18"/>
              </w:rPr>
              <w:t>100.00</w:t>
            </w:r>
          </w:p>
        </w:tc>
        <w:tc>
          <w:tcPr>
            <w:tcW w:type="dxa" w:w="1608"/>
          </w:tcPr>
          <w:p>
            <w:r>
              <w:rPr>
                <w:sz w:val="18"/>
              </w:rPr>
              <w:t>97.56</w:t>
            </w:r>
          </w:p>
        </w:tc>
        <w:tc>
          <w:tcPr>
            <w:tcW w:type="dxa" w:w="1608"/>
          </w:tcPr>
          <w:p>
            <w:r>
              <w:rPr>
                <w:sz w:val="18"/>
              </w:rPr>
              <w:t>100.00</w:t>
            </w:r>
          </w:p>
        </w:tc>
        <w:tc>
          <w:tcPr>
            <w:tcW w:type="dxa" w:w="1608"/>
          </w:tcPr>
          <w:p>
            <w:r>
              <w:rPr>
                <w:sz w:val="18"/>
              </w:rPr>
              <w:t>100.00</w:t>
            </w:r>
          </w:p>
        </w:tc>
      </w:tr>
      <w:tr>
        <w:tc>
          <w:tcPr>
            <w:tcW w:type="dxa" w:w="1608"/>
          </w:tcPr>
          <w:p>
            <w:r>
              <w:rPr>
                <w:sz w:val="18"/>
              </w:rPr>
              <w:t>Mango</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Mothbeans</w:t>
            </w:r>
          </w:p>
        </w:tc>
        <w:tc>
          <w:tcPr>
            <w:tcW w:type="dxa" w:w="1608"/>
          </w:tcPr>
          <w:p>
            <w:r>
              <w:rPr>
                <w:sz w:val="18"/>
              </w:rPr>
              <w:t>20</w:t>
            </w:r>
          </w:p>
        </w:tc>
        <w:tc>
          <w:tcPr>
            <w:tcW w:type="dxa" w:w="1608"/>
          </w:tcPr>
          <w:p>
            <w:r>
              <w:rPr>
                <w:sz w:val="18"/>
              </w:rPr>
              <w:t>100.00</w:t>
            </w:r>
          </w:p>
        </w:tc>
        <w:tc>
          <w:tcPr>
            <w:tcW w:type="dxa" w:w="1608"/>
          </w:tcPr>
          <w:p>
            <w:r>
              <w:rPr>
                <w:sz w:val="18"/>
              </w:rPr>
              <w:t>97.56</w:t>
            </w:r>
          </w:p>
        </w:tc>
        <w:tc>
          <w:tcPr>
            <w:tcW w:type="dxa" w:w="1608"/>
          </w:tcPr>
          <w:p>
            <w:r>
              <w:rPr>
                <w:sz w:val="18"/>
              </w:rPr>
              <w:t>100.00</w:t>
            </w:r>
          </w:p>
        </w:tc>
        <w:tc>
          <w:tcPr>
            <w:tcW w:type="dxa" w:w="1608"/>
          </w:tcPr>
          <w:p>
            <w:r>
              <w:rPr>
                <w:sz w:val="18"/>
              </w:rPr>
              <w:t>95.24</w:t>
            </w:r>
          </w:p>
        </w:tc>
      </w:tr>
      <w:tr>
        <w:tc>
          <w:tcPr>
            <w:tcW w:type="dxa" w:w="1608"/>
          </w:tcPr>
          <w:p>
            <w:r>
              <w:rPr>
                <w:sz w:val="18"/>
              </w:rPr>
              <w:t>Mungbean</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97.56</w:t>
            </w:r>
          </w:p>
        </w:tc>
      </w:tr>
      <w:tr>
        <w:tc>
          <w:tcPr>
            <w:tcW w:type="dxa" w:w="1608"/>
          </w:tcPr>
          <w:p>
            <w:r>
              <w:rPr>
                <w:sz w:val="18"/>
              </w:rPr>
              <w:t>Muskmelon</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Orange</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Papaya</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Pigeonpeas</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95.00</w:t>
            </w:r>
          </w:p>
        </w:tc>
        <w:tc>
          <w:tcPr>
            <w:tcW w:type="dxa" w:w="1608"/>
          </w:tcPr>
          <w:p>
            <w:r>
              <w:rPr>
                <w:sz w:val="18"/>
              </w:rPr>
              <w:t>97.44</w:t>
            </w:r>
          </w:p>
        </w:tc>
      </w:tr>
      <w:tr>
        <w:tc>
          <w:tcPr>
            <w:tcW w:type="dxa" w:w="1608"/>
          </w:tcPr>
          <w:p>
            <w:r>
              <w:rPr>
                <w:sz w:val="18"/>
              </w:rPr>
              <w:t>Pomegranate</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r>
        <w:tc>
          <w:tcPr>
            <w:tcW w:type="dxa" w:w="1608"/>
          </w:tcPr>
          <w:p>
            <w:r>
              <w:rPr>
                <w:sz w:val="18"/>
              </w:rPr>
              <w:t>Rice</w:t>
            </w:r>
          </w:p>
        </w:tc>
        <w:tc>
          <w:tcPr>
            <w:tcW w:type="dxa" w:w="1608"/>
          </w:tcPr>
          <w:p>
            <w:r>
              <w:rPr>
                <w:sz w:val="18"/>
              </w:rPr>
              <w:t>20</w:t>
            </w:r>
          </w:p>
        </w:tc>
        <w:tc>
          <w:tcPr>
            <w:tcW w:type="dxa" w:w="1608"/>
          </w:tcPr>
          <w:p>
            <w:r>
              <w:rPr>
                <w:sz w:val="18"/>
              </w:rPr>
              <w:t>95.00</w:t>
            </w:r>
          </w:p>
        </w:tc>
        <w:tc>
          <w:tcPr>
            <w:tcW w:type="dxa" w:w="1608"/>
          </w:tcPr>
          <w:p>
            <w:r>
              <w:rPr>
                <w:sz w:val="18"/>
              </w:rPr>
              <w:t>97.44</w:t>
            </w:r>
          </w:p>
        </w:tc>
        <w:tc>
          <w:tcPr>
            <w:tcW w:type="dxa" w:w="1608"/>
          </w:tcPr>
          <w:p>
            <w:r>
              <w:rPr>
                <w:sz w:val="18"/>
              </w:rPr>
              <w:t>95.00</w:t>
            </w:r>
          </w:p>
        </w:tc>
        <w:tc>
          <w:tcPr>
            <w:tcW w:type="dxa" w:w="1608"/>
          </w:tcPr>
          <w:p>
            <w:r>
              <w:rPr>
                <w:sz w:val="18"/>
              </w:rPr>
              <w:t>97.44</w:t>
            </w:r>
          </w:p>
        </w:tc>
      </w:tr>
      <w:tr>
        <w:tc>
          <w:tcPr>
            <w:tcW w:type="dxa" w:w="1608"/>
          </w:tcPr>
          <w:p>
            <w:r>
              <w:rPr>
                <w:sz w:val="18"/>
              </w:rPr>
              <w:t>Watermelon</w:t>
            </w:r>
          </w:p>
        </w:tc>
        <w:tc>
          <w:tcPr>
            <w:tcW w:type="dxa" w:w="1608"/>
          </w:tcPr>
          <w:p>
            <w:r>
              <w:rPr>
                <w:sz w:val="18"/>
              </w:rPr>
              <w:t>20</w:t>
            </w:r>
          </w:p>
        </w:tc>
        <w:tc>
          <w:tcPr>
            <w:tcW w:type="dxa" w:w="1608"/>
          </w:tcPr>
          <w:p>
            <w:r>
              <w:rPr>
                <w:sz w:val="18"/>
              </w:rPr>
              <w:t>100.00</w:t>
            </w:r>
          </w:p>
        </w:tc>
        <w:tc>
          <w:tcPr>
            <w:tcW w:type="dxa" w:w="1608"/>
          </w:tcPr>
          <w:p>
            <w:r>
              <w:rPr>
                <w:sz w:val="18"/>
              </w:rPr>
              <w:t>100.00</w:t>
            </w:r>
          </w:p>
        </w:tc>
        <w:tc>
          <w:tcPr>
            <w:tcW w:type="dxa" w:w="1608"/>
          </w:tcPr>
          <w:p>
            <w:r>
              <w:rPr>
                <w:sz w:val="18"/>
              </w:rPr>
              <w:t>100.00</w:t>
            </w:r>
          </w:p>
        </w:tc>
        <w:tc>
          <w:tcPr>
            <w:tcW w:type="dxa" w:w="1608"/>
          </w:tcPr>
          <w:p>
            <w:r>
              <w:rPr>
                <w:sz w:val="18"/>
              </w:rPr>
              <w:t>100.00</w:t>
            </w:r>
          </w:p>
        </w:tc>
      </w:tr>
    </w:tbl>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rPr>
                <w:sz w:val="18"/>
              </w:rPr>
              <w:t>Model</w:t>
            </w:r>
          </w:p>
        </w:tc>
        <w:tc>
          <w:tcPr>
            <w:tcW w:type="dxa" w:w="2412"/>
          </w:tcPr>
          <w:p>
            <w:r>
              <w:rPr>
                <w:sz w:val="18"/>
              </w:rPr>
              <w:t>Actual crop</w:t>
            </w:r>
          </w:p>
        </w:tc>
        <w:tc>
          <w:tcPr>
            <w:tcW w:type="dxa" w:w="2412"/>
          </w:tcPr>
          <w:p>
            <w:r>
              <w:rPr>
                <w:sz w:val="18"/>
              </w:rPr>
              <w:t>Predicted crop</w:t>
            </w:r>
          </w:p>
        </w:tc>
        <w:tc>
          <w:tcPr>
            <w:tcW w:type="dxa" w:w="2412"/>
          </w:tcPr>
          <w:p>
            <w:r>
              <w:rPr>
                <w:sz w:val="18"/>
              </w:rPr>
              <w:t>Count</w:t>
            </w:r>
          </w:p>
        </w:tc>
      </w:tr>
      <w:tr>
        <w:tc>
          <w:tcPr>
            <w:tcW w:type="dxa" w:w="2412"/>
          </w:tcPr>
          <w:p>
            <w:r>
              <w:rPr>
                <w:sz w:val="18"/>
              </w:rPr>
              <w:t>Random Forest</w:t>
            </w:r>
          </w:p>
        </w:tc>
        <w:tc>
          <w:tcPr>
            <w:tcW w:type="dxa" w:w="2412"/>
          </w:tcPr>
          <w:p>
            <w:r>
              <w:rPr>
                <w:sz w:val="18"/>
              </w:rPr>
              <w:t>blackgram</w:t>
            </w:r>
          </w:p>
        </w:tc>
        <w:tc>
          <w:tcPr>
            <w:tcW w:type="dxa" w:w="2412"/>
          </w:tcPr>
          <w:p>
            <w:r>
              <w:rPr>
                <w:sz w:val="18"/>
              </w:rPr>
              <w:t>maize</w:t>
            </w:r>
          </w:p>
        </w:tc>
        <w:tc>
          <w:tcPr>
            <w:tcW w:type="dxa" w:w="2412"/>
          </w:tcPr>
          <w:p>
            <w:r>
              <w:rPr>
                <w:sz w:val="18"/>
              </w:rPr>
              <w:t>1</w:t>
            </w:r>
          </w:p>
        </w:tc>
      </w:tr>
      <w:tr>
        <w:tc>
          <w:tcPr>
            <w:tcW w:type="dxa" w:w="2412"/>
          </w:tcPr>
          <w:p>
            <w:r>
              <w:rPr>
                <w:sz w:val="18"/>
              </w:rPr>
              <w:t>Random Forest</w:t>
            </w:r>
          </w:p>
        </w:tc>
        <w:tc>
          <w:tcPr>
            <w:tcW w:type="dxa" w:w="2412"/>
          </w:tcPr>
          <w:p>
            <w:r>
              <w:rPr>
                <w:sz w:val="18"/>
              </w:rPr>
              <w:t>lentil</w:t>
            </w:r>
          </w:p>
        </w:tc>
        <w:tc>
          <w:tcPr>
            <w:tcW w:type="dxa" w:w="2412"/>
          </w:tcPr>
          <w:p>
            <w:r>
              <w:rPr>
                <w:sz w:val="18"/>
              </w:rPr>
              <w:t>mothbeans</w:t>
            </w:r>
          </w:p>
        </w:tc>
        <w:tc>
          <w:tcPr>
            <w:tcW w:type="dxa" w:w="2412"/>
          </w:tcPr>
          <w:p>
            <w:r>
              <w:rPr>
                <w:sz w:val="18"/>
              </w:rPr>
              <w:t>1</w:t>
            </w:r>
          </w:p>
        </w:tc>
      </w:tr>
      <w:tr>
        <w:tc>
          <w:tcPr>
            <w:tcW w:type="dxa" w:w="2412"/>
          </w:tcPr>
          <w:p>
            <w:r>
              <w:rPr>
                <w:sz w:val="18"/>
              </w:rPr>
              <w:t>Random Forest</w:t>
            </w:r>
          </w:p>
        </w:tc>
        <w:tc>
          <w:tcPr>
            <w:tcW w:type="dxa" w:w="2412"/>
          </w:tcPr>
          <w:p>
            <w:r>
              <w:rPr>
                <w:sz w:val="18"/>
              </w:rPr>
              <w:t>rice</w:t>
            </w:r>
          </w:p>
        </w:tc>
        <w:tc>
          <w:tcPr>
            <w:tcW w:type="dxa" w:w="2412"/>
          </w:tcPr>
          <w:p>
            <w:r>
              <w:rPr>
                <w:sz w:val="18"/>
              </w:rPr>
              <w:t>jute</w:t>
            </w:r>
          </w:p>
        </w:tc>
        <w:tc>
          <w:tcPr>
            <w:tcW w:type="dxa" w:w="2412"/>
          </w:tcPr>
          <w:p>
            <w:r>
              <w:rPr>
                <w:sz w:val="18"/>
              </w:rPr>
              <w:t>1</w:t>
            </w:r>
          </w:p>
        </w:tc>
      </w:tr>
      <w:tr>
        <w:tc>
          <w:tcPr>
            <w:tcW w:type="dxa" w:w="2412"/>
          </w:tcPr>
          <w:p>
            <w:r>
              <w:rPr>
                <w:sz w:val="18"/>
              </w:rPr>
              <w:t>XGBoost</w:t>
            </w:r>
          </w:p>
        </w:tc>
        <w:tc>
          <w:tcPr>
            <w:tcW w:type="dxa" w:w="2412"/>
          </w:tcPr>
          <w:p>
            <w:r>
              <w:rPr>
                <w:sz w:val="18"/>
              </w:rPr>
              <w:t>lentil</w:t>
            </w:r>
          </w:p>
        </w:tc>
        <w:tc>
          <w:tcPr>
            <w:tcW w:type="dxa" w:w="2412"/>
          </w:tcPr>
          <w:p>
            <w:r>
              <w:rPr>
                <w:sz w:val="18"/>
              </w:rPr>
              <w:t>mothbeans</w:t>
            </w:r>
          </w:p>
        </w:tc>
        <w:tc>
          <w:tcPr>
            <w:tcW w:type="dxa" w:w="2412"/>
          </w:tcPr>
          <w:p>
            <w:r>
              <w:rPr>
                <w:sz w:val="18"/>
              </w:rPr>
              <w:t>2</w:t>
            </w:r>
          </w:p>
        </w:tc>
      </w:tr>
      <w:tr>
        <w:tc>
          <w:tcPr>
            <w:tcW w:type="dxa" w:w="2412"/>
          </w:tcPr>
          <w:p>
            <w:r>
              <w:rPr>
                <w:sz w:val="18"/>
              </w:rPr>
              <w:t>XGBoost</w:t>
            </w:r>
          </w:p>
        </w:tc>
        <w:tc>
          <w:tcPr>
            <w:tcW w:type="dxa" w:w="2412"/>
          </w:tcPr>
          <w:p>
            <w:r>
              <w:rPr>
                <w:sz w:val="18"/>
              </w:rPr>
              <w:t>lentil</w:t>
            </w:r>
          </w:p>
        </w:tc>
        <w:tc>
          <w:tcPr>
            <w:tcW w:type="dxa" w:w="2412"/>
          </w:tcPr>
          <w:p>
            <w:r>
              <w:rPr>
                <w:sz w:val="18"/>
              </w:rPr>
              <w:t>mungbean</w:t>
            </w:r>
          </w:p>
        </w:tc>
        <w:tc>
          <w:tcPr>
            <w:tcW w:type="dxa" w:w="2412"/>
          </w:tcPr>
          <w:p>
            <w:r>
              <w:rPr>
                <w:sz w:val="18"/>
              </w:rPr>
              <w:t>1</w:t>
            </w:r>
          </w:p>
        </w:tc>
      </w:tr>
      <w:tr>
        <w:tc>
          <w:tcPr>
            <w:tcW w:type="dxa" w:w="2412"/>
          </w:tcPr>
          <w:p>
            <w:r>
              <w:rPr>
                <w:sz w:val="18"/>
              </w:rPr>
              <w:t>XGBoost</w:t>
            </w:r>
          </w:p>
        </w:tc>
        <w:tc>
          <w:tcPr>
            <w:tcW w:type="dxa" w:w="2412"/>
          </w:tcPr>
          <w:p>
            <w:r>
              <w:rPr>
                <w:sz w:val="18"/>
              </w:rPr>
              <w:t>pigeonpeas</w:t>
            </w:r>
          </w:p>
        </w:tc>
        <w:tc>
          <w:tcPr>
            <w:tcW w:type="dxa" w:w="2412"/>
          </w:tcPr>
          <w:p>
            <w:r>
              <w:rPr>
                <w:sz w:val="18"/>
              </w:rPr>
              <w:t>blackgram</w:t>
            </w:r>
          </w:p>
        </w:tc>
        <w:tc>
          <w:tcPr>
            <w:tcW w:type="dxa" w:w="2412"/>
          </w:tcPr>
          <w:p>
            <w:r>
              <w:rPr>
                <w:sz w:val="18"/>
              </w:rPr>
              <w:t>1</w:t>
            </w:r>
          </w:p>
        </w:tc>
      </w:tr>
      <w:tr>
        <w:tc>
          <w:tcPr>
            <w:tcW w:type="dxa" w:w="2412"/>
          </w:tcPr>
          <w:p>
            <w:r>
              <w:rPr>
                <w:sz w:val="18"/>
              </w:rPr>
              <w:t>XGBoost</w:t>
            </w:r>
          </w:p>
        </w:tc>
        <w:tc>
          <w:tcPr>
            <w:tcW w:type="dxa" w:w="2412"/>
          </w:tcPr>
          <w:p>
            <w:r>
              <w:rPr>
                <w:sz w:val="18"/>
              </w:rPr>
              <w:t>rice</w:t>
            </w:r>
          </w:p>
        </w:tc>
        <w:tc>
          <w:tcPr>
            <w:tcW w:type="dxa" w:w="2412"/>
          </w:tcPr>
          <w:p>
            <w:r>
              <w:rPr>
                <w:sz w:val="18"/>
              </w:rPr>
              <w:t>jute</w:t>
            </w:r>
          </w:p>
        </w:tc>
        <w:tc>
          <w:tcPr>
            <w:tcW w:type="dxa" w:w="2412"/>
          </w:tcPr>
          <w:p>
            <w:r>
              <w:rPr>
                <w:sz w:val="18"/>
              </w:rPr>
              <w:t>1</w:t>
            </w:r>
          </w:p>
        </w:tc>
      </w:tr>
    </w:tbl>
    <w:p>
      <w:r>
        <w:t>Random Forest confuses one blackgram record with maize, one lentil record with mothbeans, and one rice record with jute. XGBoost confuses two lentil records with mothbeans, one lentil with mungbean, one pigeonpeas with blackgram and one rice with jute. Lentil is the weakest XGBoost class by recall, at 85%, corresponding to three missed records. Similar nutrient or climate patterns could contribute to overlap, but these errors alone do not establish an agronomic cause. Additional measurements and expert review are needed.</w:t>
      </w:r>
    </w:p>
    <w:p>
      <w:r>
        <w:t>A crop-label mistake is agriculturally meaningful: planting suitability depends on local factors beyond the dataset. The interface therefore presents candidate scores and caution notes, rather than guaranteeing a successful harvest. Probabilities have not been calibrated and should be described as model scores, not measured chances of crop success.</w:t>
      </w:r>
    </w:p>
    <w:p>
      <w:pPr>
        <w:pStyle w:val="Heading1"/>
      </w:pPr>
      <w:r>
        <w:t>5. Feature Interpretation and Agricultural Limits</w:t>
      </w:r>
    </w:p>
    <w:tbl>
      <w:tblPr>
        <w:tblStyle w:val="TableGrid"/>
        <w:tblW w:type="auto" w:w="0"/>
        <w:tblLook w:firstColumn="1" w:firstRow="1" w:lastColumn="0" w:lastRow="0" w:noHBand="0" w:noVBand="1" w:val="04A0"/>
      </w:tblPr>
      <w:tblGrid>
        <w:gridCol w:w="4824"/>
        <w:gridCol w:w="4824"/>
      </w:tblGrid>
      <w:tr>
        <w:trPr>
          <w:tblHeader/>
        </w:trPr>
        <w:tc>
          <w:tcPr>
            <w:tcW w:type="dxa" w:w="4824"/>
          </w:tcPr>
          <w:p>
            <w:r>
              <w:rPr>
                <w:sz w:val="18"/>
              </w:rPr>
              <w:t>Random Forest input</w:t>
            </w:r>
          </w:p>
        </w:tc>
        <w:tc>
          <w:tcPr>
            <w:tcW w:type="dxa" w:w="4824"/>
          </w:tcPr>
          <w:p>
            <w:r>
              <w:rPr>
                <w:sz w:val="18"/>
              </w:rPr>
              <w:t>Model importance</w:t>
            </w:r>
          </w:p>
        </w:tc>
      </w:tr>
      <w:tr>
        <w:tc>
          <w:tcPr>
            <w:tcW w:type="dxa" w:w="4824"/>
          </w:tcPr>
          <w:p>
            <w:r>
              <w:rPr>
                <w:sz w:val="18"/>
              </w:rPr>
              <w:t>rainfall</w:t>
            </w:r>
          </w:p>
        </w:tc>
        <w:tc>
          <w:tcPr>
            <w:tcW w:type="dxa" w:w="4824"/>
          </w:tcPr>
          <w:p>
            <w:r>
              <w:rPr>
                <w:sz w:val="18"/>
              </w:rPr>
              <w:t>22.15%</w:t>
            </w:r>
          </w:p>
        </w:tc>
      </w:tr>
      <w:tr>
        <w:tc>
          <w:tcPr>
            <w:tcW w:type="dxa" w:w="4824"/>
          </w:tcPr>
          <w:p>
            <w:r>
              <w:rPr>
                <w:sz w:val="18"/>
              </w:rPr>
              <w:t>humidity</w:t>
            </w:r>
          </w:p>
        </w:tc>
        <w:tc>
          <w:tcPr>
            <w:tcW w:type="dxa" w:w="4824"/>
          </w:tcPr>
          <w:p>
            <w:r>
              <w:rPr>
                <w:sz w:val="18"/>
              </w:rPr>
              <w:t>21.19%</w:t>
            </w:r>
          </w:p>
        </w:tc>
      </w:tr>
      <w:tr>
        <w:tc>
          <w:tcPr>
            <w:tcW w:type="dxa" w:w="4824"/>
          </w:tcPr>
          <w:p>
            <w:r>
              <w:rPr>
                <w:sz w:val="18"/>
              </w:rPr>
              <w:t>K</w:t>
            </w:r>
          </w:p>
        </w:tc>
        <w:tc>
          <w:tcPr>
            <w:tcW w:type="dxa" w:w="4824"/>
          </w:tcPr>
          <w:p>
            <w:r>
              <w:rPr>
                <w:sz w:val="18"/>
              </w:rPr>
              <w:t>17.92%</w:t>
            </w:r>
          </w:p>
        </w:tc>
      </w:tr>
      <w:tr>
        <w:tc>
          <w:tcPr>
            <w:tcW w:type="dxa" w:w="4824"/>
          </w:tcPr>
          <w:p>
            <w:r>
              <w:rPr>
                <w:sz w:val="18"/>
              </w:rPr>
              <w:t>P</w:t>
            </w:r>
          </w:p>
        </w:tc>
        <w:tc>
          <w:tcPr>
            <w:tcW w:type="dxa" w:w="4824"/>
          </w:tcPr>
          <w:p>
            <w:r>
              <w:rPr>
                <w:sz w:val="18"/>
              </w:rPr>
              <w:t>15.37%</w:t>
            </w:r>
          </w:p>
        </w:tc>
      </w:tr>
      <w:tr>
        <w:tc>
          <w:tcPr>
            <w:tcW w:type="dxa" w:w="4824"/>
          </w:tcPr>
          <w:p>
            <w:r>
              <w:rPr>
                <w:sz w:val="18"/>
              </w:rPr>
              <w:t>N</w:t>
            </w:r>
          </w:p>
        </w:tc>
        <w:tc>
          <w:tcPr>
            <w:tcW w:type="dxa" w:w="4824"/>
          </w:tcPr>
          <w:p>
            <w:r>
              <w:rPr>
                <w:sz w:val="18"/>
              </w:rPr>
              <w:t>10.39%</w:t>
            </w:r>
          </w:p>
        </w:tc>
      </w:tr>
      <w:tr>
        <w:tc>
          <w:tcPr>
            <w:tcW w:type="dxa" w:w="4824"/>
          </w:tcPr>
          <w:p>
            <w:r>
              <w:rPr>
                <w:sz w:val="18"/>
              </w:rPr>
              <w:t>temperature</w:t>
            </w:r>
          </w:p>
        </w:tc>
        <w:tc>
          <w:tcPr>
            <w:tcW w:type="dxa" w:w="4824"/>
          </w:tcPr>
          <w:p>
            <w:r>
              <w:rPr>
                <w:sz w:val="18"/>
              </w:rPr>
              <w:t>7.58%</w:t>
            </w:r>
          </w:p>
        </w:tc>
      </w:tr>
      <w:tr>
        <w:tc>
          <w:tcPr>
            <w:tcW w:type="dxa" w:w="4824"/>
          </w:tcPr>
          <w:p>
            <w:r>
              <w:rPr>
                <w:sz w:val="18"/>
              </w:rPr>
              <w:t>ph</w:t>
            </w:r>
          </w:p>
        </w:tc>
        <w:tc>
          <w:tcPr>
            <w:tcW w:type="dxa" w:w="4824"/>
          </w:tcPr>
          <w:p>
            <w:r>
              <w:rPr>
                <w:sz w:val="18"/>
              </w:rPr>
              <w:t>5.39%</w:t>
            </w:r>
          </w:p>
        </w:tc>
      </w:tr>
    </w:tbl>
    <w:p>
      <w:r>
        <w:t>Rainfall (22.15%) and humidity (21.19%) receive the largest Random Forest impurity-based feature importance, followed by potassium (17.92%) and phosphorus (15.37%). This describes how the fitted model uses features in the benchmark. It is not a causal explanation, a fertilizer prescription, or a universal ranking of agricultural needs. Impurity-based importance can be biased and correlated inputs can share importance; permutation importance or SHAP analysis would be useful future checks but has not been completed.</w:t>
      </w:r>
    </w:p>
    <w:p>
      <w:r>
        <w:t>The dataset lacks season, location, irrigation access, soil texture, crop history, pest pressure and forecast weather. Nutrient units and rainfall measurement periods must match the training assumptions. Laboratory readings in incompatible units should not be entered directly. A geographically and temporally independent dataset is required before strong regional deployment claims.</w:t>
      </w:r>
    </w:p>
    <w:p>
      <w:r>
        <w:br w:type="page"/>
      </w:r>
    </w:p>
    <w:p>
      <w:pPr>
        <w:pStyle w:val="Heading1"/>
      </w:pPr>
      <w:r>
        <w:t>6. Market Prices and Financial Planning Evaluation</w:t>
      </w:r>
    </w:p>
    <w:p>
      <w:r>
        <w:t>The market module supports reported Agmarknet price records through data.gov.in and official CSV exports. Crop matching, report date, price ordering and unit validation precede use. A price quoted in rupees per quintal is divided by 100 to obtain rupees per kilogram. The system retains market, commodity, variety, grade, source and report-date information; individual quotations are not national averages. Coconut count-based prices are not automatically converted to weight-based prices, and rice planning must distinguish paddy from processed rice.</w:t>
      </w:r>
    </w:p>
    <w:p>
      <w:r>
        <w:t>Estimated profit = area in hectares × [(price in rupees/kg × expected yield in kg/ha) − cultivation cost in rupees/ha]. Yield and cost are user assumptions. The current quote does not forecast the harvest-time selling price. This is a transparent scenario calculation, not a trained profit predictor.</w:t>
      </w:r>
    </w:p>
    <w:p>
      <w:r>
        <w:t>For illustration only, a price assumption of ₹30/kg, yield of 4,000 kg/ha, cost of ₹50,000/ha and area of 1 ha gives revenue of ₹120,000 and estimated profit of ₹70,000. These are hypothetical demonstration inputs, not actual reported market values. A 20% price decrease would reduce the scenario profit to ₹46,000. A field study should compare expected and realized values and record transport, storage and other omitted costs.</w:t>
      </w:r>
    </w:p>
    <w:p>
      <w:r>
        <w:t>Economic ranking is applied only to agronomically eligible candidates and only when at least two candidates have complete financial inputs. Missing prices remain unavailable, stale reports cannot automatically fill financial inputs, and model-based ranking remains available. Authentic live price retrieval remains unresolved because official endpoint connections failed. Mock API and synthetic CSV tests establish parsing behavior; they do not establish current market availability or genuine coverage for all crops.</w:t>
      </w:r>
    </w:p>
    <w:p>
      <w:pPr>
        <w:pStyle w:val="Heading1"/>
      </w:pPr>
      <w:r>
        <w:t>7. Demonstration and Software Validation</w:t>
      </w:r>
    </w:p>
    <w:p>
      <w:r>
        <w:t>The recorded test suite has 66 passing tests covering prediction, input validation, market parsing, quote provenance, financial calculations and failure behavior. Recorded browser checks exercise desktop and mobile layouts, CSV import, crop-price slots, report selection, manual overrides, downloadable results and reset behavior. This is software validation; it does not replace field trials, farmer usability studies or independent verification of the market source.</w:t>
      </w:r>
    </w:p>
    <w:tbl>
      <w:tblPr>
        <w:tblStyle w:val="TableGrid"/>
        <w:tblW w:type="auto" w:w="0"/>
        <w:tblLook w:firstColumn="1" w:firstRow="1" w:lastColumn="0" w:lastRow="0" w:noHBand="0" w:noVBand="1" w:val="04A0"/>
      </w:tblPr>
      <w:tblGrid>
        <w:gridCol w:w="4824"/>
        <w:gridCol w:w="4824"/>
      </w:tblGrid>
      <w:tr>
        <w:trPr>
          <w:tblHeader/>
        </w:trPr>
        <w:tc>
          <w:tcPr>
            <w:tcW w:type="dxa" w:w="4824"/>
          </w:tcPr>
          <w:p>
            <w:r>
              <w:rPr>
                <w:sz w:val="18"/>
              </w:rPr>
              <w:t>Demonstration step</w:t>
            </w:r>
          </w:p>
        </w:tc>
        <w:tc>
          <w:tcPr>
            <w:tcW w:type="dxa" w:w="4824"/>
          </w:tcPr>
          <w:p>
            <w:r>
              <w:rPr>
                <w:sz w:val="18"/>
              </w:rPr>
              <w:t>Expected observation</w:t>
            </w:r>
          </w:p>
        </w:tc>
      </w:tr>
      <w:tr>
        <w:tc>
          <w:tcPr>
            <w:tcW w:type="dxa" w:w="4824"/>
          </w:tcPr>
          <w:p>
            <w:r>
              <w:rPr>
                <w:sz w:val="18"/>
              </w:rPr>
              <w:t>Open the application and load the rice example</w:t>
            </w:r>
          </w:p>
        </w:tc>
        <w:tc>
          <w:tcPr>
            <w:tcW w:type="dxa" w:w="4824"/>
          </w:tcPr>
          <w:p>
            <w:r>
              <w:rPr>
                <w:sz w:val="18"/>
              </w:rPr>
              <w:t>N=90, P=42, K=43, temperature=20.9°C, humidity=82%, pH=6.5 and rainfall=203 mm.</w:t>
            </w:r>
          </w:p>
        </w:tc>
      </w:tr>
      <w:tr>
        <w:tc>
          <w:tcPr>
            <w:tcW w:type="dxa" w:w="4824"/>
          </w:tcPr>
          <w:p>
            <w:r>
              <w:rPr>
                <w:sz w:val="18"/>
              </w:rPr>
              <w:t>Run both algorithms</w:t>
            </w:r>
          </w:p>
        </w:tc>
        <w:tc>
          <w:tcPr>
            <w:tcW w:type="dxa" w:w="4824"/>
          </w:tcPr>
          <w:p>
            <w:r>
              <w:rPr>
                <w:sz w:val="18"/>
              </w:rPr>
              <w:t>Both recommend rice for the documented example; compare their model scores.</w:t>
            </w:r>
          </w:p>
        </w:tc>
      </w:tr>
      <w:tr>
        <w:tc>
          <w:tcPr>
            <w:tcW w:type="dxa" w:w="4824"/>
          </w:tcPr>
          <w:p>
            <w:r>
              <w:rPr>
                <w:sz w:val="18"/>
              </w:rPr>
              <w:t>Try an invalid input</w:t>
            </w:r>
          </w:p>
        </w:tc>
        <w:tc>
          <w:tcPr>
            <w:tcW w:type="dxa" w:w="4824"/>
          </w:tcPr>
          <w:p>
            <w:r>
              <w:rPr>
                <w:sz w:val="18"/>
              </w:rPr>
              <w:t>The app rejects missing, non-finite or out-of-range values with a clear message.</w:t>
            </w:r>
          </w:p>
        </w:tc>
      </w:tr>
      <w:tr>
        <w:tc>
          <w:tcPr>
            <w:tcW w:type="dxa" w:w="4824"/>
          </w:tcPr>
          <w:p>
            <w:r>
              <w:rPr>
                <w:sz w:val="18"/>
              </w:rPr>
              <w:t>Import a genuine recent official CSV if available</w:t>
            </w:r>
          </w:p>
        </w:tc>
        <w:tc>
          <w:tcPr>
            <w:tcW w:type="dxa" w:w="4824"/>
          </w:tcPr>
          <w:p>
            <w:r>
              <w:rPr>
                <w:sz w:val="18"/>
              </w:rPr>
              <w:t>The app validates units, date and commodity and displays source details.</w:t>
            </w:r>
          </w:p>
        </w:tc>
      </w:tr>
      <w:tr>
        <w:tc>
          <w:tcPr>
            <w:tcW w:type="dxa" w:w="4824"/>
          </w:tcPr>
          <w:p>
            <w:r>
              <w:rPr>
                <w:sz w:val="18"/>
              </w:rPr>
              <w:t>Enter yield, cost and land area</w:t>
            </w:r>
          </w:p>
        </w:tc>
        <w:tc>
          <w:tcPr>
            <w:tcW w:type="dxa" w:w="4824"/>
          </w:tcPr>
          <w:p>
            <w:r>
              <w:rPr>
                <w:sz w:val="18"/>
              </w:rPr>
              <w:t>The app shows the assumptions behind estimated profit; label hypothetical values.</w:t>
            </w:r>
          </w:p>
        </w:tc>
      </w:tr>
      <w:tr>
        <w:tc>
          <w:tcPr>
            <w:tcW w:type="dxa" w:w="4824"/>
          </w:tcPr>
          <w:p>
            <w:r>
              <w:rPr>
                <w:sz w:val="18"/>
              </w:rPr>
              <w:t>Remove a price or inspect a stale report</w:t>
            </w:r>
          </w:p>
        </w:tc>
        <w:tc>
          <w:tcPr>
            <w:tcW w:type="dxa" w:w="4824"/>
          </w:tcPr>
          <w:p>
            <w:r>
              <w:rPr>
                <w:sz w:val="18"/>
              </w:rPr>
              <w:t>Unavailable data remains unavailable and cannot silently become a live quote.</w:t>
            </w:r>
          </w:p>
        </w:tc>
      </w:tr>
      <w:tr>
        <w:tc>
          <w:tcPr>
            <w:tcW w:type="dxa" w:w="4824"/>
          </w:tcPr>
          <w:p>
            <w:r>
              <w:rPr>
                <w:sz w:val="18"/>
              </w:rPr>
              <w:t>Download the result</w:t>
            </w:r>
          </w:p>
        </w:tc>
        <w:tc>
          <w:tcPr>
            <w:tcW w:type="dxa" w:w="4824"/>
          </w:tcPr>
          <w:p>
            <w:r>
              <w:rPr>
                <w:sz w:val="18"/>
              </w:rPr>
              <w:t>Review the selected model, inputs, economic assumptions and source metadata.</w:t>
            </w:r>
          </w:p>
        </w:tc>
      </w:tr>
    </w:tbl>
    <w:p>
      <w:r>
        <w:t>Run the demonstration with the bundled models; training need not run during the viva. Use a genuine official export for any claim about reported prices. If no such file is available, demonstrate handling with clearly labelled test data and explain the live connection limitation.</w:t>
      </w:r>
    </w:p>
    <w:p>
      <w:r>
        <w:br w:type="page"/>
      </w:r>
    </w:p>
    <w:p>
      <w:pPr>
        <w:pStyle w:val="Heading1"/>
      </w:pPr>
      <w:r>
        <w:t>8. SDG Alignment and Measurable Impact Framework</w:t>
      </w:r>
    </w:p>
    <w:p>
      <w:r>
        <w:t>Terra is aligned in purpose with SDG 2 (Zero Hunger) and SDG 12 (Responsible Consumption and Production). The prototype demonstrates decision-support capabilities but has not yet measured agricultural impact. The following framework separates completed technical evidence from proposed field outcomes. All targets are pilot goals, not achieved results or official SDG indicator values.</w:t>
      </w:r>
    </w:p>
    <w:tbl>
      <w:tblPr>
        <w:tblStyle w:val="TableGrid"/>
        <w:tblW w:type="auto" w:w="0"/>
        <w:tblLook w:firstColumn="1" w:firstRow="1" w:lastColumn="0" w:lastRow="0" w:noHBand="0" w:noVBand="1" w:val="04A0"/>
      </w:tblPr>
      <w:tblGrid>
        <w:gridCol w:w="2412"/>
        <w:gridCol w:w="2412"/>
        <w:gridCol w:w="2412"/>
        <w:gridCol w:w="2412"/>
      </w:tblGrid>
      <w:tr>
        <w:trPr>
          <w:tblHeader/>
        </w:trPr>
        <w:tc>
          <w:tcPr>
            <w:tcW w:type="dxa" w:w="2412"/>
          </w:tcPr>
          <w:p>
            <w:r>
              <w:rPr>
                <w:sz w:val="18"/>
              </w:rPr>
              <w:t>SDG target</w:t>
            </w:r>
          </w:p>
        </w:tc>
        <w:tc>
          <w:tcPr>
            <w:tcW w:type="dxa" w:w="2412"/>
          </w:tcPr>
          <w:p>
            <w:r>
              <w:rPr>
                <w:sz w:val="18"/>
              </w:rPr>
              <w:t>Project mechanism</w:t>
            </w:r>
          </w:p>
        </w:tc>
        <w:tc>
          <w:tcPr>
            <w:tcW w:type="dxa" w:w="2412"/>
          </w:tcPr>
          <w:p>
            <w:r>
              <w:rPr>
                <w:sz w:val="18"/>
              </w:rPr>
              <w:t>Measurement and proposed pilot goal</w:t>
            </w:r>
          </w:p>
        </w:tc>
        <w:tc>
          <w:tcPr>
            <w:tcW w:type="dxa" w:w="2412"/>
          </w:tcPr>
          <w:p>
            <w:r>
              <w:rPr>
                <w:sz w:val="18"/>
              </w:rPr>
              <w:t>Current evidence</w:t>
            </w:r>
          </w:p>
        </w:tc>
      </w:tr>
      <w:tr>
        <w:tc>
          <w:tcPr>
            <w:tcW w:type="dxa" w:w="2412"/>
          </w:tcPr>
          <w:p>
            <w:r>
              <w:rPr>
                <w:sz w:val="18"/>
              </w:rPr>
              <w:t>2.3 — productivity and incomes of small-scale food producers</w:t>
            </w:r>
          </w:p>
        </w:tc>
        <w:tc>
          <w:tcPr>
            <w:tcW w:type="dxa" w:w="2412"/>
          </w:tcPr>
          <w:p>
            <w:r>
              <w:rPr>
                <w:sz w:val="18"/>
              </w:rPr>
              <w:t>Crop suitability comparison and explicit market/yield/cost scenarios</w:t>
            </w:r>
          </w:p>
        </w:tc>
        <w:tc>
          <w:tcPr>
            <w:tcW w:type="dxa" w:w="2412"/>
          </w:tcPr>
          <w:p>
            <w:r>
              <w:rPr>
                <w:sz w:val="18"/>
              </w:rPr>
              <w:t>Compare realized net income per hectare and yield with matched farmer baseline; pilot goal: ≥5% income improvement without yield decline.</w:t>
            </w:r>
          </w:p>
        </w:tc>
        <w:tc>
          <w:tcPr>
            <w:tcW w:type="dxa" w:w="2412"/>
          </w:tcPr>
          <w:p>
            <w:r>
              <w:rPr>
                <w:sz w:val="18"/>
              </w:rPr>
              <w:t>Benchmark crop accuracy and financial calculations only; no observed income gain.</w:t>
            </w:r>
          </w:p>
        </w:tc>
      </w:tr>
      <w:tr>
        <w:tc>
          <w:tcPr>
            <w:tcW w:type="dxa" w:w="2412"/>
          </w:tcPr>
          <w:p>
            <w:r>
              <w:rPr>
                <w:sz w:val="18"/>
              </w:rPr>
              <w:t>2.4 — sustainable and resilient agriculture</w:t>
            </w:r>
          </w:p>
        </w:tc>
        <w:tc>
          <w:tcPr>
            <w:tcW w:type="dxa" w:w="2412"/>
          </w:tcPr>
          <w:p>
            <w:r>
              <w:rPr>
                <w:sz w:val="18"/>
              </w:rPr>
              <w:t>Soil/climate inputs and water-demand caution notes</w:t>
            </w:r>
          </w:p>
        </w:tc>
        <w:tc>
          <w:tcPr>
            <w:tcW w:type="dxa" w:w="2412"/>
          </w:tcPr>
          <w:p>
            <w:r>
              <w:rPr>
                <w:sz w:val="18"/>
              </w:rPr>
              <w:t>Record irrigation m³/ha, yield and crop failure; pilot goal: ≥10% lower irrigation per unit output without yield loss.</w:t>
            </w:r>
          </w:p>
        </w:tc>
        <w:tc>
          <w:tcPr>
            <w:tcW w:type="dxa" w:w="2412"/>
          </w:tcPr>
          <w:p>
            <w:r>
              <w:rPr>
                <w:sz w:val="18"/>
              </w:rPr>
              <w:t>Heuristic cautions available; no water-saving measurements.</w:t>
            </w:r>
          </w:p>
        </w:tc>
      </w:tr>
      <w:tr>
        <w:tc>
          <w:tcPr>
            <w:tcW w:type="dxa" w:w="2412"/>
          </w:tcPr>
          <w:p>
            <w:r>
              <w:rPr>
                <w:sz w:val="18"/>
              </w:rPr>
              <w:t>12.2 — efficient use of natural resources</w:t>
            </w:r>
          </w:p>
        </w:tc>
        <w:tc>
          <w:tcPr>
            <w:tcW w:type="dxa" w:w="2412"/>
          </w:tcPr>
          <w:p>
            <w:r>
              <w:rPr>
                <w:sz w:val="18"/>
              </w:rPr>
              <w:t>Encourage review of crop fit before committing land and resources</w:t>
            </w:r>
          </w:p>
        </w:tc>
        <w:tc>
          <w:tcPr>
            <w:tcW w:type="dxa" w:w="2412"/>
          </w:tcPr>
          <w:p>
            <w:r>
              <w:rPr>
                <w:sz w:val="18"/>
              </w:rPr>
              <w:t>Measure irrigation m³/kg and nutrient input kg/ha using verified units; compare with baseline and record soil health.</w:t>
            </w:r>
          </w:p>
        </w:tc>
        <w:tc>
          <w:tcPr>
            <w:tcW w:type="dxa" w:w="2412"/>
          </w:tcPr>
          <w:p>
            <w:r>
              <w:rPr>
                <w:sz w:val="18"/>
              </w:rPr>
              <w:t>No fertilizer optimization model or resource-efficiency trial completed.</w:t>
            </w:r>
          </w:p>
        </w:tc>
      </w:tr>
      <w:tr>
        <w:tc>
          <w:tcPr>
            <w:tcW w:type="dxa" w:w="2412"/>
          </w:tcPr>
          <w:p>
            <w:r>
              <w:rPr>
                <w:sz w:val="18"/>
              </w:rPr>
              <w:t>12.3 — reduction of food losses</w:t>
            </w:r>
          </w:p>
        </w:tc>
        <w:tc>
          <w:tcPr>
            <w:tcW w:type="dxa" w:w="2412"/>
          </w:tcPr>
          <w:p>
            <w:r>
              <w:rPr>
                <w:sz w:val="18"/>
              </w:rPr>
              <w:t>Market awareness may support planning before planting</w:t>
            </w:r>
          </w:p>
        </w:tc>
        <w:tc>
          <w:tcPr>
            <w:tcW w:type="dxa" w:w="2412"/>
          </w:tcPr>
          <w:p>
            <w:r>
              <w:rPr>
                <w:sz w:val="18"/>
              </w:rPr>
              <w:t>Measure harvested, sold and discarded quantities; record unsold share and reasons, with no improvement target until a baseline is established.</w:t>
            </w:r>
          </w:p>
        </w:tc>
        <w:tc>
          <w:tcPr>
            <w:tcW w:type="dxa" w:w="2412"/>
          </w:tcPr>
          <w:p>
            <w:r>
              <w:rPr>
                <w:sz w:val="18"/>
              </w:rPr>
              <w:t>No storage/logistics feature and no measured waste reduction.</w:t>
            </w:r>
          </w:p>
        </w:tc>
      </w:tr>
      <w:tr>
        <w:tc>
          <w:tcPr>
            <w:tcW w:type="dxa" w:w="2412"/>
          </w:tcPr>
          <w:p>
            <w:r>
              <w:rPr>
                <w:sz w:val="18"/>
              </w:rPr>
              <w:t>12.8 — information and awareness for sustainable development</w:t>
            </w:r>
          </w:p>
        </w:tc>
        <w:tc>
          <w:tcPr>
            <w:tcW w:type="dxa" w:w="2412"/>
          </w:tcPr>
          <w:p>
            <w:r>
              <w:rPr>
                <w:sz w:val="18"/>
              </w:rPr>
              <w:t>Explain inputs, model limits, price provenance and assumptions</w:t>
            </w:r>
          </w:p>
        </w:tc>
        <w:tc>
          <w:tcPr>
            <w:tcW w:type="dxa" w:w="2412"/>
          </w:tcPr>
          <w:p>
            <w:r>
              <w:rPr>
                <w:sz w:val="18"/>
              </w:rPr>
              <w:t>At least 80% of pilot participants correctly explain a recommendation and price-date limitation after a task.</w:t>
            </w:r>
          </w:p>
        </w:tc>
        <w:tc>
          <w:tcPr>
            <w:tcW w:type="dxa" w:w="2412"/>
          </w:tcPr>
          <w:p>
            <w:r>
              <w:rPr>
                <w:sz w:val="18"/>
              </w:rPr>
              <w:t>Readable interface and source details; farmer comprehension study pending.</w:t>
            </w:r>
          </w:p>
        </w:tc>
      </w:tr>
    </w:tbl>
    <w:p>
      <w:r>
        <w:t>Software metrics such as test accuracy do not measure progress in hunger, income or environmental sustainability. Direct evidence requires recorded farm outcomes. Any final impact claim should state sample size, season, location context, baseline method, missing data and uncertainty, rather than attributing all changes to the app.</w:t>
      </w:r>
    </w:p>
    <w:p>
      <w:pPr>
        <w:pStyle w:val="Heading1"/>
      </w:pPr>
      <w:r>
        <w:t>9. Proposed Agricultural Pilot</w:t>
      </w:r>
    </w:p>
    <w:p>
      <w:r>
        <w:t>A feasible next step is a voluntary pilot with approximately 30 farms over at least one complete crop cycle, supported by an agricultural adviser. This size is a practical starting plan, not a statistical power calculation. Collect consent, baseline crop practices, soil tests, water availability and costs before recommendations. Use comparable control farms or randomized assignment where acceptable, and document differences in rainfall, input prices and irrigation infrastructure.</w:t>
      </w:r>
    </w:p>
    <w:p>
      <w:r>
        <w:t>Record the recommended crop, adviser judgement, farmer choice and reasons for overriding the app. At harvest, measure yield, realized sale prices, net income, irrigation use and unsold output. Record unsuitable recommendations, disease events, input burden and unexpected losses. Compare within-farm changes against the control group, report confidence intervals, and evaluate subgroup performance. Multiple seasons and a larger justified sample are needed before widespread recommendations.</w:t>
      </w:r>
    </w:p>
    <w:p>
      <w:r>
        <w:t>Impact calculations should use consistent definitions: net income/ha = realized revenue/ha minus verified total cost/ha; water intensity = measured irrigation m³ divided by harvested kg; unsold share = unsold harvested kg divided by total harvested kg. Report percentage changes relative to baseline, along with absolute values and crop context. Do not use assumed market profit as a substitute for realized income.</w:t>
      </w:r>
    </w:p>
    <w:p>
      <w:r>
        <w:br w:type="page"/>
      </w:r>
    </w:p>
    <w:p>
      <w:pPr>
        <w:pStyle w:val="Heading1"/>
      </w:pPr>
      <w:r>
        <w:t>10. Farmer Accessibility, Ethics and Responsible AI</w:t>
      </w:r>
    </w:p>
    <w:p>
      <w:r>
        <w:t>The browser interface and local launch option reduce dependence on specialist ML tools, while CSV import provides an alternative when the official API is unreachable. The trained models can run locally without fetching live prices. A hosted version requires network access, and price imports still require genuine data. The current interface is primarily English; multilingual instructions, voice support, offline mobile use and accessibility testing with farmers are future improvements, not completed features.</w:t>
      </w:r>
    </w:p>
    <w:p>
      <w:r>
        <w:t>Farmers may not know soil nutrient measurements or the correct rainfall period. Assisted data entry with a soil-testing service and extension worker is necessary. A farmer should be able to review, question and override recommendations. Sensor faults and uncertain measurements should be treated as reasons for expert review, rather than converted into confident planting advice.</w:t>
      </w:r>
    </w:p>
    <w:p>
      <w:r>
        <w:t>The balanced public benchmark does not establish fairness across regions, farm sizes, irrigation access or marginalized farmer groups. A responsible pilot should assess these groups separately, avoid collecting unnecessary identifying information and use informed consent for any farm data. The current prediction workflow does not require names or registration details. Future persistence needs a documented retention policy, secure access and deletion controls.</w:t>
      </w:r>
    </w:p>
    <w:p>
      <w:r>
        <w:t>API credentials remain server-side environment settings. TLS verification is enabled, and diagnostic responses avoid exposing credentials. Model files must come from trusted sources. Transparent labels distinguish market reports, manual assumptions and illustrative scenarios. No field performance, environmental benefit or guaranteed income should be asserted without evidence.</w:t>
      </w:r>
    </w:p>
    <w:p>
      <w:pPr>
        <w:pStyle w:val="Heading1"/>
      </w:pPr>
      <w:r>
        <w:t>11. Deployment Readiness and Remaining Work</w:t>
      </w:r>
    </w:p>
    <w:tbl>
      <w:tblPr>
        <w:tblStyle w:val="TableGrid"/>
        <w:tblW w:type="auto" w:w="0"/>
        <w:tblLook w:firstColumn="1" w:firstRow="1" w:lastColumn="0" w:lastRow="0" w:noHBand="0" w:noVBand="1" w:val="04A0"/>
      </w:tblPr>
      <w:tblGrid>
        <w:gridCol w:w="4824"/>
        <w:gridCol w:w="4824"/>
      </w:tblGrid>
      <w:tr>
        <w:trPr>
          <w:tblHeader/>
        </w:trPr>
        <w:tc>
          <w:tcPr>
            <w:tcW w:type="dxa" w:w="4824"/>
          </w:tcPr>
          <w:p>
            <w:r>
              <w:rPr>
                <w:sz w:val="18"/>
              </w:rPr>
              <w:t>Area</w:t>
            </w:r>
          </w:p>
        </w:tc>
        <w:tc>
          <w:tcPr>
            <w:tcW w:type="dxa" w:w="4824"/>
          </w:tcPr>
          <w:p>
            <w:r>
              <w:rPr>
                <w:sz w:val="18"/>
              </w:rPr>
              <w:t>Verified status / remaining requirement</w:t>
            </w:r>
          </w:p>
        </w:tc>
      </w:tr>
      <w:tr>
        <w:tc>
          <w:tcPr>
            <w:tcW w:type="dxa" w:w="4824"/>
          </w:tcPr>
          <w:p>
            <w:r>
              <w:rPr>
                <w:sz w:val="18"/>
              </w:rPr>
              <w:t>Prediction service</w:t>
            </w:r>
          </w:p>
        </w:tc>
        <w:tc>
          <w:tcPr>
            <w:tcW w:type="dxa" w:w="4824"/>
          </w:tcPr>
          <w:p>
            <w:r>
              <w:rPr>
                <w:sz w:val="18"/>
              </w:rPr>
              <w:t>Flask endpoints and bundled models validated locally; 66 automated tests pass.</w:t>
            </w:r>
          </w:p>
        </w:tc>
      </w:tr>
      <w:tr>
        <w:tc>
          <w:tcPr>
            <w:tcW w:type="dxa" w:w="4824"/>
          </w:tcPr>
          <w:p>
            <w:r>
              <w:rPr>
                <w:sz w:val="18"/>
              </w:rPr>
              <w:t>Production server</w:t>
            </w:r>
          </w:p>
        </w:tc>
        <w:tc>
          <w:tcPr>
            <w:tcW w:type="dxa" w:w="4824"/>
          </w:tcPr>
          <w:p>
            <w:r>
              <w:rPr>
                <w:sz w:val="18"/>
              </w:rPr>
              <w:t>Gunicorn dependency and startup command verified locally. Independent confirmation of a healthy public Render deployment is pending.</w:t>
            </w:r>
          </w:p>
        </w:tc>
      </w:tr>
      <w:tr>
        <w:tc>
          <w:tcPr>
            <w:tcW w:type="dxa" w:w="4824"/>
          </w:tcPr>
          <w:p>
            <w:r>
              <w:rPr>
                <w:sz w:val="18"/>
              </w:rPr>
              <w:t>Official market connection</w:t>
            </w:r>
          </w:p>
        </w:tc>
        <w:tc>
          <w:tcPr>
            <w:tcW w:type="dxa" w:w="4824"/>
          </w:tcPr>
          <w:p>
            <w:r>
              <w:rPr>
                <w:sz w:val="18"/>
              </w:rPr>
              <w:t>API configuration and diagnostics implemented; successful authenticated live retrieval remains unverified.</w:t>
            </w:r>
          </w:p>
        </w:tc>
      </w:tr>
      <w:tr>
        <w:tc>
          <w:tcPr>
            <w:tcW w:type="dxa" w:w="4824"/>
          </w:tcPr>
          <w:p>
            <w:r>
              <w:rPr>
                <w:sz w:val="18"/>
              </w:rPr>
              <w:t>Market coverage</w:t>
            </w:r>
          </w:p>
        </w:tc>
        <w:tc>
          <w:tcPr>
            <w:tcW w:type="dxa" w:w="4824"/>
          </w:tcPr>
          <w:p>
            <w:r>
              <w:rPr>
                <w:sz w:val="18"/>
              </w:rPr>
              <w:t>Supported crop slots and parsing logic exist; complete real-price coverage is not established.</w:t>
            </w:r>
          </w:p>
        </w:tc>
      </w:tr>
      <w:tr>
        <w:tc>
          <w:tcPr>
            <w:tcW w:type="dxa" w:w="4824"/>
          </w:tcPr>
          <w:p>
            <w:r>
              <w:rPr>
                <w:sz w:val="18"/>
              </w:rPr>
              <w:t>Scaling</w:t>
            </w:r>
          </w:p>
        </w:tc>
        <w:tc>
          <w:tcPr>
            <w:tcW w:type="dxa" w:w="4824"/>
          </w:tcPr>
          <w:p>
            <w:r>
              <w:rPr>
                <w:sz w:val="18"/>
              </w:rPr>
              <w:t>Quote references are in-memory and expire; shared storage is needed before multi-worker scaling.</w:t>
            </w:r>
          </w:p>
        </w:tc>
      </w:tr>
      <w:tr>
        <w:tc>
          <w:tcPr>
            <w:tcW w:type="dxa" w:w="4824"/>
          </w:tcPr>
          <w:p>
            <w:r>
              <w:rPr>
                <w:sz w:val="18"/>
              </w:rPr>
              <w:t>Agricultural readiness</w:t>
            </w:r>
          </w:p>
        </w:tc>
        <w:tc>
          <w:tcPr>
            <w:tcW w:type="dxa" w:w="4824"/>
          </w:tcPr>
          <w:p>
            <w:r>
              <w:rPr>
                <w:sz w:val="18"/>
              </w:rPr>
              <w:t>Expert review, compatible soil measurements and external/field validation are required.</w:t>
            </w:r>
          </w:p>
        </w:tc>
      </w:tr>
      <w:tr>
        <w:tc>
          <w:tcPr>
            <w:tcW w:type="dxa" w:w="4824"/>
          </w:tcPr>
          <w:p>
            <w:r>
              <w:rPr>
                <w:sz w:val="18"/>
              </w:rPr>
              <w:t>Farmer usability</w:t>
            </w:r>
          </w:p>
        </w:tc>
        <w:tc>
          <w:tcPr>
            <w:tcW w:type="dxa" w:w="4824"/>
          </w:tcPr>
          <w:p>
            <w:r>
              <w:rPr>
                <w:sz w:val="18"/>
              </w:rPr>
              <w:t>Responsive browser checks exist; representative farmer usability and accessibility evaluation is pending.</w:t>
            </w:r>
          </w:p>
        </w:tc>
      </w:tr>
    </w:tbl>
    <w:p>
      <w:r>
        <w:t>The system is ready for a controlled academic demonstration and further supervised evaluation. A public service should add verified health checks, monitoring, shared quote storage if scaling, clear price-freshness messages and a documented fallback for upstream failure. Production readiness and agronomic readiness are separate milestones.</w:t>
      </w:r>
    </w:p>
    <w:p>
      <w:r>
        <w:br w:type="page"/>
      </w:r>
    </w:p>
    <w:p>
      <w:pPr>
        <w:pStyle w:val="Heading1"/>
      </w:pPr>
      <w:r>
        <w:t>12. Viva Preparation and Technical Defence</w:t>
      </w:r>
    </w:p>
    <w:p>
      <w:r>
        <w:rPr>
          <w:b/>
        </w:rPr>
        <w:t>What problem does Terra solve?</w:t>
      </w:r>
    </w:p>
    <w:p>
      <w:r>
        <w:t>It helps compare crops using soil and climate measurements, then supports transparent economic scenarios using reported market prices, expected yield and cultivation cost.</w:t>
      </w:r>
    </w:p>
    <w:p>
      <w:r>
        <w:rPr>
          <w:b/>
        </w:rPr>
        <w:t>What is Random Forest?</w:t>
      </w:r>
    </w:p>
    <w:p>
      <w:r>
        <w:t>It trains many decision trees using varied samples and feature subsets, then combines their predictions. This can reduce the variance of an individual tree.</w:t>
      </w:r>
    </w:p>
    <w:p>
      <w:r>
        <w:rPr>
          <w:b/>
        </w:rPr>
        <w:t>What is XGBoost?</w:t>
      </w:r>
    </w:p>
    <w:p>
      <w:r>
        <w:t>It builds an ensemble in successive boosting rounds, optimizing an objective so later trees improve earlier predictions. Regularization and sampling help control complexity.</w:t>
      </w:r>
    </w:p>
    <w:p>
      <w:r>
        <w:rPr>
          <w:b/>
        </w:rPr>
        <w:t>Why did you choose Random Forest as the default?</w:t>
      </w:r>
    </w:p>
    <w:p>
      <w:r>
        <w:t>It had the higher validation macro F1 before the held-out test was evaluated. Its test accuracy was also slightly higher, but a two-record difference is not proof of universal superiority.</w:t>
      </w:r>
    </w:p>
    <w:p>
      <w:r>
        <w:rPr>
          <w:b/>
        </w:rPr>
        <w:t>How did you prevent data leakage?</w:t>
      </w:r>
    </w:p>
    <w:p>
      <w:r>
        <w:t>Training, validation and test partitions were stratified and kept separate. Selection used validation; final fitting used training plus validation; test records were not used for fitting.</w:t>
      </w:r>
    </w:p>
    <w:p>
      <w:r>
        <w:rPr>
          <w:b/>
        </w:rPr>
        <w:t>Why use F1 if accuracy is already high?</w:t>
      </w:r>
    </w:p>
    <w:p>
      <w:r>
        <w:t>Macro F1 gives each crop equal weight and highlights precision/recall trade-offs. Class-wise scores reveal weaknesses such as XGBoost lentil recall of 85%.</w:t>
      </w:r>
    </w:p>
    <w:p>
      <w:r>
        <w:rPr>
          <w:b/>
        </w:rPr>
        <w:t>Are market prices inputs to the trained ML models?</w:t>
      </w:r>
    </w:p>
    <w:p>
      <w:r>
        <w:t>No. The supplied dataset has seven soil/climate inputs. Market prices enter a separate financial-planning calculation and optional ranking of eligible candidates.</w:t>
      </w:r>
    </w:p>
    <w:p>
      <w:r>
        <w:rPr>
          <w:b/>
        </w:rPr>
        <w:t>Does a 99% score mean the crop will succeed?</w:t>
      </w:r>
    </w:p>
    <w:p>
      <w:r>
        <w:t>No. It is classification performance on this held-out benchmark. The model has not measured harvest success or been externally validated across farms and seasons.</w:t>
      </w:r>
    </w:p>
    <w:p>
      <w:r>
        <w:rPr>
          <w:b/>
        </w:rPr>
        <w:t>Does Terra predict future price or yield?</w:t>
      </w:r>
    </w:p>
    <w:p>
      <w:r>
        <w:t>No. It uses current reported quotes and user-entered yield assumptions. Harvest-time prices and actual yield remain uncertain.</w:t>
      </w:r>
    </w:p>
    <w:p>
      <w:r>
        <w:rPr>
          <w:b/>
        </w:rPr>
        <w:t>Why not recommend whichever crop is most expensive?</w:t>
      </w:r>
    </w:p>
    <w:p>
      <w:r>
        <w:t>High unit price alone ignores agronomic fit, expected yield and costs. The app restricts financial comparison to eligible crops and requires complete assumptions.</w:t>
      </w:r>
    </w:p>
    <w:p>
      <w:r>
        <w:rPr>
          <w:b/>
        </w:rPr>
        <w:t>What is the strongest evidence of sustainability?</w:t>
      </w:r>
    </w:p>
    <w:p>
      <w:r>
        <w:t>The implemented decision-support mechanisms align with SDG 2 and SDG 12, but measurable sustainability gains are not yet established. A field pilot will measure income, water intensity and losses.</w:t>
      </w:r>
    </w:p>
    <w:p>
      <w:r>
        <w:rPr>
          <w:b/>
        </w:rPr>
        <w:t>What happens if the official API fails?</w:t>
      </w:r>
    </w:p>
    <w:p>
      <w:r>
        <w:t>Crop inference can still run with bundled models. Market data can be imported from a genuine CSV; missing prices remain unavailable and are not replaced with fabricated values.</w:t>
      </w:r>
    </w:p>
    <w:p>
      <w:r>
        <w:rPr>
          <w:b/>
        </w:rPr>
        <w:t>What is the main next step?</w:t>
      </w:r>
    </w:p>
    <w:p>
      <w:r>
        <w:t>External agricultural validation followed by a supervised field pilot, reliable live market retrieval and farmer usability testing.</w:t>
      </w:r>
    </w:p>
    <w:p>
      <w:pPr>
        <w:pStyle w:val="Heading1"/>
      </w:pPr>
      <w:r>
        <w:t>13. Suggested Oral Presentation</w:t>
      </w:r>
    </w:p>
    <w:p>
      <w:r>
        <w:t>“Our project, Terra, helps farmers compare crops using soil and climate inputs. We trained Random Forest and XGBoost on 2,200 records covering 22 crops. We separated training, validation and test data, and selected Random Forest using validation macro F1. On 440 unseen test records, Random Forest achieved 99.32% accuracy and XGBoost achieved 98.86%. These are benchmark results, not guaranteed farm outcomes. The application also processes reported market prices and shows estimated profit using explicit yield and cost assumptions. Missing or stale prices are not presented as live values. Terra aligns with SDG 2 and SDG 12 through informed planning and resource awareness. Our next step is a supervised field pilot measuring income, irrigation intensity and farmer understanding. We see Terra as a decision-support tool that complements agricultural expertise.”</w:t>
      </w:r>
    </w:p>
    <w:p>
      <w:pPr>
        <w:pStyle w:val="Heading1"/>
      </w:pPr>
      <w:r>
        <w:t>14. Conclusion</w:t>
      </w:r>
    </w:p>
    <w:p>
      <w:r>
        <w:t>Terra demonstrates strong crop-label classification on its held-out benchmark, a reproducible model-selection process, modular software and transparent market-price processing. Random Forest is the default based on validation macro F1, with three errors in the 440-record test set. The project has a defensible academic demonstration and a clear pathway to measuring agricultural impact. Live market reliability, regional generalization, accessibility and real-world sustainability remain validation priorities. SDG alignment is supported by the design and proposed measurements; no unmeasured farm-level benefit is claimed.</w:t>
      </w:r>
    </w:p>
    <w:p>
      <w:pPr>
        <w:pStyle w:val="Heading1"/>
      </w:pPr>
      <w:r>
        <w:t>References</w:t>
      </w:r>
    </w:p>
    <w:p>
      <w:r>
        <w:t>1. PySustain-2026. Intelligent Solutions for Sustainable Agriculture Assessment brief, BACSE101. Supplied assessment document; Assessment 3 rubric.</w:t>
      </w:r>
    </w:p>
    <w:p>
      <w:r>
        <w:t>2. Atharva Ingle. Crop Recommendation Dataset. Kaggle. https://www.kaggle.com/datasets/atharvaingle/crop-recommendation-dataset</w:t>
      </w:r>
    </w:p>
    <w:p>
      <w:r>
        <w:t>3. Harvestify. Public crop dataset mirror. https://github.com/Gladiator07/Harvestify/blob/master/Data-processed/crop_recommendation.csv</w:t>
      </w:r>
    </w:p>
    <w:p>
      <w:r>
        <w:t>4. Breiman, L. (2001). Random Forests. Machine Learning, 45, 5–32. https://doi.org/10.1023/A:1010933404324</w:t>
      </w:r>
    </w:p>
    <w:p>
      <w:r>
        <w:t>5. Chen, T., &amp; Guestrin, C. (2016). XGBoost: A Scalable Tree Boosting System. KDD. https://doi.org/10.1145/2939672.2939785</w:t>
      </w:r>
    </w:p>
    <w:p>
      <w:r>
        <w:t>6. data.gov.in. Current Daily Price of Various Commodities from Various Markets (Mandi). Resource ID: 9ef84268-d588-465a-a308-a864a43d0070. https://www.data.gov.in/</w:t>
      </w:r>
    </w:p>
    <w:p>
      <w:r>
        <w:t>7. United Nations. Goal 2: Zero Hunger. https://sdgs.un.org/goals/goal2</w:t>
      </w:r>
    </w:p>
    <w:p>
      <w:r>
        <w:t>8. United Nations. Goal 12: Responsible Consumption and Production. https://sdgs.un.org/goals/goal12</w:t>
      </w:r>
    </w:p>
    <w:p>
      <w:r>
        <w:t>9. Terra source and evaluation artefacts. https://github.com/ravikumar24011970/Crop-recommendation-system — models/metrics.json and train.py.</w:t>
      </w:r>
    </w:p>
    <w:sectPr w:rsidR="00FC693F" w:rsidRPr="0006063C" w:rsidSect="00034616">
      <w:footerReference w:type="default" r:id="rId9"/>
      <w:headerReference w:type="default" r:id="rId10"/>
      <w:pgSz w:w="11952" w:h="1684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Terra | Assessment 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PySustain-2026 · BACSE101 · Core Implementation &amp;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4B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4B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 Assessment 3: Evaluation, Impact &amp; Communication</dc:title>
  <dc:subject>PySustain-2026, BACSE101, Sustainable Agriculture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