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Case Study: From Phishing Target to Fraud Network Discovery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How a routine review of a suspicious job offer uncovered shared infrastructure behind a multi-brand fraud operation</w:t>
      </w:r>
    </w:p>
    <w:p>
      <w:pPr>
        <w:spacing w:after="100"/>
      </w:pPr>
      <w:r>
        <w:rPr>
          <w:b/>
          <w:bCs/>
        </w:rPr>
        <w:t xml:space="preserve">Engagement type: </w:t>
      </w:r>
      <w:r>
        <w:t xml:space="preserve">Unsolicited discovery, reframed to passive OSINT investigation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July 2–4, 2026 (3 days)</w:t>
      </w:r>
    </w:p>
    <w:p>
      <w:pPr>
        <w:spacing w:after="100"/>
      </w:pPr>
      <w:r>
        <w:rPr>
          <w:b/>
          <w:bCs/>
        </w:rPr>
        <w:t xml:space="preserve">Role: </w:t>
      </w:r>
      <w:r>
        <w:t xml:space="preserve">Independent researcher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This case study documents an engagement that began as a routine technical review of a suspicious job-offer email and evolved into the discovery of shared backend infrastructure powering an active, multi-brand fraud operation. It illustrates a recurring theme in real-world security work: scope and authorization can shift mid-engagement, and the researcher's judgment about when to stop, reframe, or escalate matters as much as technical skill.</w:t>
      </w:r>
    </w:p>
    <w:p>
      <w:pPr>
        <w:pStyle w:val="Heading1"/>
        <w:spacing w:after="150" w:before="300"/>
      </w:pPr>
      <w:r>
        <w:t xml:space="preserve">Objective</w:t>
      </w:r>
    </w:p>
    <w:p>
      <w:pPr>
        <w:spacing w:after="120"/>
      </w:pPr>
      <w:r>
        <w:t xml:space="preserve">There was no original engagement objective — this began as a personal interaction with a phishing email, not an authorized assessment. The objective that emerged organically was: determine whether the observed behavior was a legitimate business system with a vulnerability, or something else entirely, and respond appropriately to whichever was true.</w:t>
      </w:r>
    </w:p>
    <w:p>
      <w:pPr>
        <w:pStyle w:val="Heading1"/>
        <w:spacing w:after="150" w:before="300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1. Initial review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Client-side code review of a phishing page's JS, live endpoint mapping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Identified unauthenticated backend API; realized this was not a sanctioned target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2. Reframe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Shift from bug-bounty mental model to passive-OSINT / fraud-investigation posture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Established passive-only rules of engagement given no authorization existed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3. Infrastructure mapping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Passive review of exposed data via adjacent route enumeration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Confirmed fee-for-fake-certificate mechanism, payment trail, PII exposure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4. Scale discovery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Root-level data export review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Identified 10+ concurrent scam campaigns sharing one backend; live third-party credentials found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5. Reporting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Evidence packaging and multi-party disclosure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Reports filed with payment/email providers, telecom fraud desk, and law enforcement</w:t>
            </w:r>
          </w:p>
        </w:tc>
      </w:tr>
    </w:tbl>
    <w:p>
      <w:pPr>
        <w:pStyle w:val="Heading1"/>
        <w:spacing w:after="150" w:before="300"/>
      </w:pPr>
      <w:r>
        <w:t xml:space="preserve">Technical Summary</w:t>
      </w:r>
    </w:p>
    <w:p>
      <w:pPr>
        <w:pStyle w:val="Heading2"/>
        <w:spacing w:after="100" w:before="220"/>
      </w:pPr>
      <w:r>
        <w:t xml:space="preserve">Discovery vector</w:t>
      </w:r>
    </w:p>
    <w:p>
      <w:pPr>
        <w:spacing w:after="120"/>
      </w:pPr>
      <w:r>
        <w:t xml:space="preserve">A phishing email impersonating a real company's recruitment process. Reviewing the linked page's client-side JavaScript — standard due diligence before interacting further with an unsolicited message — revealed the backend API it called.</w:t>
      </w:r>
    </w:p>
    <w:p>
      <w:pPr>
        <w:pStyle w:val="Heading2"/>
        <w:spacing w:after="100" w:before="220"/>
      </w:pPr>
      <w:r>
        <w:t xml:space="preserve">Core vulnerability class</w:t>
      </w:r>
    </w:p>
    <w:p>
      <w:pPr>
        <w:spacing w:after="120"/>
      </w:pPr>
      <w:r>
        <w:t xml:space="preserve">Complete absence of authentication and access control on a backend data API. Every endpoint — read and write — was reachable by unauthenticated request, including a root-level export returning the entire underlying data store. This is a single, systemic control failure rather than a chain of smaller bugs.</w:t>
      </w:r>
    </w:p>
    <w:p>
      <w:pPr>
        <w:pStyle w:val="Heading2"/>
        <w:spacing w:after="100" w:before="220"/>
      </w:pPr>
      <w:r>
        <w:t xml:space="preserve">Contributing factors observed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Wide-open CORS policy (Access-Control-Allow-Origin: *)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input validation on identifying parameters, allowing exploration of the data model through malformed input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single shared backend serving multiple, seemingly independent front-end brands — a scale multiplier once discovered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Secrets (payment gateway API keys, email service tokens) stored in the same unsecured data store as application data, rather than isolated</w:t>
      </w:r>
    </w:p>
    <w:p>
      <w:pPr>
        <w:pStyle w:val="Heading1"/>
        <w:spacing w:after="150" w:before="300"/>
      </w:pPr>
      <w:r>
        <w:t xml:space="preserve">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76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Observed Impact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Victim data exposure</w:t>
            </w:r>
          </w:p>
        </w:tc>
        <w:tc>
          <w:tcPr>
            <w:tcW w:type="dxa" w:w="6760"/>
          </w:tcPr>
          <w:p>
            <w:r>
              <w:rPr>
                <w:sz w:val="20"/>
                <w:szCs w:val="20"/>
              </w:rPr>
              <w:t xml:space="preserve">Thousands of individuals' PII exposed, including plaintext passwords, national ID numbers, and phone numbers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Financial harm</w:t>
            </w:r>
          </w:p>
        </w:tc>
        <w:tc>
          <w:tcPr>
            <w:tcW w:type="dxa" w:w="6760"/>
          </w:tcPr>
          <w:p>
            <w:r>
              <w:rPr>
                <w:sz w:val="20"/>
                <w:szCs w:val="20"/>
              </w:rPr>
              <w:t xml:space="preserve">Confirmed fraudulent collection of funds via a non-functional certification product, with an active, ongoing payment stream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6760"/>
          </w:tcPr>
          <w:p>
            <w:r>
              <w:rPr>
                <w:sz w:val="20"/>
                <w:szCs w:val="20"/>
              </w:rPr>
              <w:t xml:space="preserve">At least 10 distinct scam campaigns impersonating 6+ real companies, run from shared infrastructure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Secondary risk</w:t>
            </w:r>
          </w:p>
        </w:tc>
        <w:tc>
          <w:tcPr>
            <w:tcW w:type="dxa" w:w="6760"/>
          </w:tcPr>
          <w:p>
            <w:r>
              <w:rPr>
                <w:sz w:val="20"/>
                <w:szCs w:val="20"/>
              </w:rPr>
              <w:t xml:space="preserve">Live, valid third-party API credentials exposed alongside victim data, usable for continued fraud or unrelated abuse</w:t>
            </w:r>
          </w:p>
        </w:tc>
      </w:tr>
    </w:tbl>
    <w:p>
      <w:pPr>
        <w:pStyle w:val="Heading1"/>
        <w:spacing w:after="150" w:before="300"/>
      </w:pPr>
      <w:r>
        <w:t xml:space="preserve">Decision Points</w:t>
      </w:r>
    </w:p>
    <w:p>
      <w:pPr>
        <w:spacing w:after="120"/>
      </w:pPr>
      <w:r>
        <w:t xml:space="preserve">The most consequential moments in this engagement were judgment calls rather than technical ones: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Recognizing early that no authorization existed for what initially looked like a bug-bounty-style target, and adjusting methodology accordingly rather than continuing under the wrong framework.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Maintaining a strict passive-only boundary throughout — observing exposed data without further probing, and explicitly declining to use or test live credentials discovered in the exposed dataset, even though doing so would have been technically trivial.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Prioritizing time-sensitive actions (credential revocation requests to affected providers) ahead of slower-moving law enforcement channels, since it offered the fastest path to reducing ongoing harm.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Choosing to stop investigating once sufficient evidence existed to act, rather than continuing to enumerate for completeness — avoiding unnecessary further exposure of victim data.</w:t>
      </w:r>
    </w:p>
    <w:p>
      <w:pPr>
        <w:pStyle w:val="Heading1"/>
        <w:spacing w:after="150" w:before="300"/>
      </w:pPr>
      <w:r>
        <w:t xml:space="preserve">Response and Disclosure</w:t>
      </w:r>
    </w:p>
    <w:p>
      <w:pPr>
        <w:spacing w:after="120"/>
      </w:pPr>
      <w:r>
        <w:t xml:space="preserve">Findings were packaged into targeted reports for each relevant party, prioritized by ability to reduce ongoing harm: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gateway provider — exposed live API key revocation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Transactional email provider — exposed live access token revocation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money operator's fraud desk — payment rail investigation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National cybercrime unit — comprehensive evidence package covering full campaign scope and a preliminary actor lead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protection authority and impersonated companies — planned as follow-on notifications</w:t>
      </w:r>
    </w:p>
    <w:p>
      <w:pPr>
        <w:spacing w:after="120"/>
      </w:pPr>
      <w:r>
        <w:t xml:space="preserve">A public disclosure (social post) was drafted but deliberately held back until after time-sensitive provider notifications, to avoid tipping off the operator and prompting evasive action (key rotation, infrastructure teardown) before it could be acted on.</w:t>
      </w:r>
    </w:p>
    <w:p>
      <w:pPr>
        <w:pStyle w:val="Heading1"/>
        <w:spacing w:after="150" w:before="300"/>
      </w:pPr>
      <w:r>
        <w:t xml:space="preserve">Lessons and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Authorization status can change the correct course of action entirely, even when the technical facts on the ground stay the same. The same finding is a bug bounty submission in one context and a fraud report in another.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Severity and scope can grow substantially mid-investigation. Discipline established early (passive-only, no exploitation) needs to hold even as findings escalate — the temptation to "do more because it's clearly bad" is exactly when restraint matters most.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Reporting is not one action but several, sequenced by urgency. Time-sensitive technical remediation (credential revocation) and slower institutional processes (law enforcement) serve different purposes and shouldn't be bottlenecked on each other.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findings often start from ordinary personal exposure — in this case, simply being a phishing target — rather than a deliberate search for a target.</w:t>
      </w:r>
    </w:p>
    <w:p>
      <w:pPr>
        <w:pStyle w:val="Heading1"/>
        <w:spacing w:after="150" w:before="300"/>
      </w:pPr>
      <w:r>
        <w:t xml:space="preserve">Note on Evidence Handling</w:t>
      </w:r>
    </w:p>
    <w:p>
      <w:pPr>
        <w:spacing w:after="120"/>
      </w:pPr>
      <w:r>
        <w:t xml:space="preserve">This case study omits victim PII, live credentials, and other sensitive artifacts by design, consistent with the same data-minimization approach applied throughout the engagement. Full technical evidence is retained separately and was shared only with authorized recipients (affected providers, impersonated companies, and law enforcement) through secure channels.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2026-07-03T22:11:41.045Z</dcterms:created>
  <dcterms:modified xsi:type="dcterms:W3CDTF">2026-07-03T22:11:41.058Z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