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2A2440"/>
          <w:sz w:val="40"/>
        </w:rPr>
        <w:t>Answr — Schedule of Assets &amp; Intellectual Property</w:t>
      </w:r>
    </w:p>
    <w:p>
      <w:r>
        <w:t>_The complete list of assets and IP that transfer to the buyer on sale, what stays with the seller,</w:t>
      </w:r>
    </w:p>
    <w:p>
      <w:r>
        <w:t>and the third-party components and encumbrances a buyer should know. Prepared for acquisition</w:t>
      </w:r>
    </w:p>
    <w:p>
      <w:r>
        <w:t>diligence._</w:t>
      </w:r>
    </w:p>
    <w:p>
      <w:r>
        <w:rPr>
          <w:i/>
          <w:color w:val="56555F"/>
          <w:sz w:val="20"/>
        </w:rPr>
        <w:t>Last updated: 21 Aug 2026.</w:t>
      </w:r>
    </w:p>
    <w:p>
      <w:pPr>
        <w:ind w:left="360"/>
      </w:pPr>
      <w:r>
        <w:rPr>
          <w:i/>
          <w:color w:val="56555F"/>
          <w:sz w:val="19"/>
        </w:rPr>
        <w:t xml:space="preserve">Items marked </w:t>
      </w:r>
      <w:r>
        <w:rPr>
          <w:b/>
          <w:i/>
          <w:color w:val="56555F"/>
          <w:sz w:val="19"/>
        </w:rPr>
        <w:t>[confirm]</w:t>
      </w:r>
      <w:r>
        <w:rPr>
          <w:i/>
          <w:color w:val="56555F"/>
          <w:sz w:val="19"/>
        </w:rPr>
        <w:t xml:space="preserve"> require the seller to verify before close. Nothing here is legal advice;</w:t>
      </w:r>
    </w:p>
    <w:p>
      <w:pPr>
        <w:ind w:left="360"/>
      </w:pPr>
      <w:r>
        <w:rPr>
          <w:i/>
          <w:color w:val="56555F"/>
          <w:sz w:val="19"/>
        </w:rPr>
        <w:t>the definitive list should be attached as a schedule to the purchase agreement.</w:t>
      </w:r>
    </w:p>
    <w:p>
      <w:pPr>
        <w:spacing w:before="280" w:after="80"/>
      </w:pPr>
      <w:r>
        <w:rPr>
          <w:rFonts w:ascii="Arial" w:hAnsi="Arial"/>
          <w:b/>
          <w:color w:val="5A4FD0"/>
          <w:sz w:val="27"/>
        </w:rPr>
        <w:t>A. Software &amp; source code (primary asset)</w:t>
      </w:r>
    </w:p>
    <w:p>
      <w:r>
        <w:t>The complete, original source code of the Answr platform and all rights in it.</w:t>
      </w:r>
    </w:p>
    <w:p>
      <w:pPr>
        <w:pStyle w:val="ListBullet"/>
        <w:spacing w:after="60"/>
      </w:pPr>
      <w:r>
        <w:t>The full private Git repository (~26,600 lines of application code) — all application code, build</w:t>
      </w:r>
    </w:p>
    <w:p>
      <w:r>
        <w:t xml:space="preserve">  configuration, and history.</w:t>
      </w:r>
    </w:p>
    <w:p>
      <w:pPr>
        <w:pStyle w:val="ListBullet"/>
        <w:spacing w:after="60"/>
      </w:pPr>
      <w:r>
        <w:t>All original TypeScript/React source: 73 page routes, 16 API routes, 38 library modules, 28</w:t>
      </w:r>
    </w:p>
    <w:p>
      <w:r>
        <w:t xml:space="preserve">  shared components (see </w:t>
      </w:r>
      <w:r>
        <w:rPr>
          <w:rFonts w:ascii="Consolas" w:hAnsi="Consolas"/>
          <w:color w:val="333340"/>
          <w:sz w:val="19"/>
        </w:rPr>
        <w:t>PLATFORM_OVERVIEW.md</w:t>
      </w:r>
      <w:r>
        <w:t xml:space="preserve"> for the full feature inventory).</w:t>
      </w:r>
    </w:p>
    <w:p>
      <w:pPr>
        <w:pStyle w:val="ListBullet"/>
        <w:spacing w:after="60"/>
      </w:pPr>
      <w:r>
        <w:t>The engine: persistence layer, authentication, answer-scoring, sampler, provider integration</w:t>
      </w:r>
    </w:p>
    <w:p>
      <w:r>
        <w:t xml:space="preserve">  clients, and first-party telemetry pipeline — all original work.</w:t>
      </w:r>
    </w:p>
    <w:p>
      <w:pPr>
        <w:pStyle w:val="ListBullet"/>
        <w:spacing w:after="60"/>
      </w:pPr>
      <w:r>
        <w:t xml:space="preserve">Build &amp; deploy configuration: </w:t>
      </w:r>
      <w:r>
        <w:rPr>
          <w:rFonts w:ascii="Consolas" w:hAnsi="Consolas"/>
          <w:color w:val="333340"/>
          <w:sz w:val="19"/>
        </w:rPr>
        <w:t>package.json</w:t>
      </w:r>
      <w:r>
        <w:t xml:space="preserve">, </w:t>
      </w:r>
      <w:r>
        <w:rPr>
          <w:rFonts w:ascii="Consolas" w:hAnsi="Consolas"/>
          <w:color w:val="333340"/>
          <w:sz w:val="19"/>
        </w:rPr>
        <w:t>tsconfig.json</w:t>
      </w:r>
      <w:r>
        <w:t xml:space="preserve">, </w:t>
      </w:r>
      <w:r>
        <w:rPr>
          <w:rFonts w:ascii="Consolas" w:hAnsi="Consolas"/>
          <w:color w:val="333340"/>
          <w:sz w:val="19"/>
        </w:rPr>
        <w:t>next.config.ts</w:t>
      </w:r>
      <w:r>
        <w:t>,</w:t>
      </w:r>
    </w:p>
    <w:p>
      <w:r>
        <w:t xml:space="preserve">  </w:t>
      </w:r>
      <w:r>
        <w:rPr>
          <w:rFonts w:ascii="Consolas" w:hAnsi="Consolas"/>
          <w:color w:val="333340"/>
          <w:sz w:val="19"/>
        </w:rPr>
        <w:t>postcss.config.mjs</w:t>
      </w:r>
      <w:r>
        <w:t xml:space="preserve">, </w:t>
      </w:r>
      <w:r>
        <w:rPr>
          <w:rFonts w:ascii="Consolas" w:hAnsi="Consolas"/>
          <w:color w:val="333340"/>
          <w:sz w:val="19"/>
        </w:rPr>
        <w:t>vercel.json</w:t>
      </w:r>
      <w:r>
        <w:t xml:space="preserve"> (cron), </w:t>
      </w:r>
      <w:r>
        <w:rPr>
          <w:rFonts w:ascii="Consolas" w:hAnsi="Consolas"/>
          <w:color w:val="333340"/>
          <w:sz w:val="19"/>
        </w:rPr>
        <w:t>.nvmrc</w:t>
      </w:r>
      <w:r>
        <w:t xml:space="preserve">, </w:t>
      </w:r>
      <w:r>
        <w:rPr>
          <w:rFonts w:ascii="Consolas" w:hAnsi="Consolas"/>
          <w:color w:val="333340"/>
          <w:sz w:val="19"/>
        </w:rPr>
        <w:t>.gitignore</w:t>
      </w:r>
      <w:r>
        <w:t xml:space="preserve">, </w:t>
      </w:r>
      <w:r>
        <w:rPr>
          <w:rFonts w:ascii="Consolas" w:hAnsi="Consolas"/>
          <w:color w:val="333340"/>
          <w:sz w:val="19"/>
        </w:rPr>
        <w:t>proxy.ts</w:t>
      </w:r>
      <w:r>
        <w:t>.</w:t>
      </w:r>
    </w:p>
    <w:p>
      <w:r>
        <w:rPr>
          <w:b/>
        </w:rPr>
        <w:t>Ownership:</w:t>
      </w:r>
      <w:r>
        <w:t xml:space="preserve"> original work created for this project. Buyer receives full ownership and rights.</w:t>
      </w:r>
    </w:p>
    <w:p>
      <w:pPr>
        <w:spacing w:before="280" w:after="80"/>
      </w:pPr>
      <w:r>
        <w:rPr>
          <w:rFonts w:ascii="Arial" w:hAnsi="Arial"/>
          <w:b/>
          <w:color w:val="5A4FD0"/>
          <w:sz w:val="27"/>
        </w:rPr>
        <w:t>B. Domain names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5A4FD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Domain</w:t>
            </w:r>
          </w:p>
        </w:tc>
        <w:tc>
          <w:tcPr>
            <w:tcW w:type="dxa" w:w="3120"/>
            <w:shd w:val="clear" w:fill="5A4FD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120"/>
            <w:shd w:val="clear" w:fill="5A4FD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Transfers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A1A22"/>
                <w:sz w:val="19"/>
              </w:rPr>
            </w:r>
            <w:r>
              <w:rPr>
                <w:rFonts w:ascii="Arial" w:hAnsi="Arial"/>
                <w:b/>
                <w:color w:val="1A1A22"/>
                <w:sz w:val="19"/>
              </w:rPr>
              <w:t>useanswr.com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A1A22"/>
                <w:sz w:val="19"/>
              </w:rPr>
            </w:r>
            <w:r>
              <w:rPr>
                <w:rFonts w:ascii="Arial" w:hAnsi="Arial"/>
                <w:b w:val="0"/>
                <w:color w:val="1A1A22"/>
                <w:sz w:val="19"/>
              </w:rPr>
              <w:t>Primary production domain (live)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A1A22"/>
                <w:sz w:val="19"/>
              </w:rPr>
            </w:r>
            <w:r>
              <w:rPr>
                <w:rFonts w:ascii="Arial" w:hAnsi="Arial"/>
                <w:b w:val="0"/>
                <w:color w:val="1A1A22"/>
                <w:sz w:val="19"/>
              </w:rPr>
              <w:t>Yes — registrar transfer to buyer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A1A22"/>
                <w:sz w:val="19"/>
              </w:rPr>
            </w:r>
            <w:r>
              <w:rPr>
                <w:rFonts w:ascii="Arial" w:hAnsi="Arial"/>
                <w:b/>
                <w:color w:val="1A1A22"/>
                <w:sz w:val="19"/>
              </w:rPr>
              <w:t>answr.io</w:t>
            </w:r>
            <w:r>
              <w:rPr>
                <w:rFonts w:ascii="Arial" w:hAnsi="Arial"/>
                <w:b/>
                <w:color w:val="1A1A22"/>
                <w:sz w:val="19"/>
              </w:rPr>
              <w:t xml:space="preserve"> / app.answr.io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A1A22"/>
                <w:sz w:val="19"/>
              </w:rPr>
            </w:r>
            <w:r>
              <w:rPr>
                <w:rFonts w:ascii="Arial" w:hAnsi="Arial"/>
                <w:b w:val="0"/>
                <w:color w:val="1A1A22"/>
                <w:sz w:val="19"/>
              </w:rPr>
              <w:t>Referenced in mockups and email addresses (</w:t>
            </w:r>
            <w:r>
              <w:rPr>
                <w:rFonts w:ascii="Arial" w:hAnsi="Arial"/>
                <w:b w:val="0"/>
                <w:color w:val="1A1A22"/>
                <w:sz w:val="19"/>
              </w:rPr>
              <w:t>security@answr.io</w:t>
            </w:r>
            <w:r>
              <w:rPr>
                <w:rFonts w:ascii="Arial" w:hAnsi="Arial"/>
                <w:b w:val="0"/>
                <w:color w:val="1A1A22"/>
                <w:sz w:val="19"/>
              </w:rPr>
              <w:t xml:space="preserve">, </w:t>
            </w:r>
            <w:r>
              <w:rPr>
                <w:rFonts w:ascii="Arial" w:hAnsi="Arial"/>
                <w:b w:val="0"/>
                <w:color w:val="1A1A22"/>
                <w:sz w:val="19"/>
              </w:rPr>
              <w:t>privacy@answr.io</w:t>
            </w:r>
            <w:r>
              <w:rPr>
                <w:rFonts w:ascii="Arial" w:hAnsi="Arial"/>
                <w:b w:val="0"/>
                <w:color w:val="1A1A22"/>
                <w:sz w:val="19"/>
              </w:rPr>
              <w:t>)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A1A22"/>
                <w:sz w:val="19"/>
              </w:rPr>
            </w:r>
            <w:r>
              <w:rPr>
                <w:rFonts w:ascii="Arial" w:hAnsi="Arial"/>
                <w:b w:val="0"/>
                <w:color w:val="1A1A22"/>
                <w:sz w:val="19"/>
              </w:rPr>
              <w:t>[confirm]</w:t>
            </w:r>
            <w:r>
              <w:rPr>
                <w:rFonts w:ascii="Arial" w:hAnsi="Arial"/>
                <w:b w:val="0"/>
                <w:color w:val="1A1A22"/>
                <w:sz w:val="19"/>
              </w:rPr>
              <w:t xml:space="preserve"> whether the seller owns this; if owned, include; if not, buyer should register or the references are cosmetic</w:t>
            </w:r>
          </w:p>
        </w:tc>
      </w:tr>
    </w:tbl>
    <w:p>
      <w:pPr>
        <w:spacing w:after="40"/>
      </w:pPr>
    </w:p>
    <w:p>
      <w:r>
        <w:t>The auto-generated Vercel URLs (</w:t>
      </w:r>
      <w:r>
        <w:rPr>
          <w:rFonts w:ascii="Consolas" w:hAnsi="Consolas"/>
          <w:color w:val="333340"/>
          <w:sz w:val="19"/>
        </w:rPr>
        <w:t>answr-*.vercel.app</w:t>
      </w:r>
      <w:r>
        <w:t>) are not owned domains and do not transfer.</w:t>
      </w:r>
    </w:p>
    <w:p>
      <w:pPr>
        <w:spacing w:before="280" w:after="80"/>
      </w:pPr>
      <w:r>
        <w:rPr>
          <w:rFonts w:ascii="Arial" w:hAnsi="Arial"/>
          <w:b/>
          <w:color w:val="5A4FD0"/>
          <w:sz w:val="27"/>
        </w:rPr>
        <w:t>C. Brand &amp; trademarks</w:t>
      </w:r>
    </w:p>
    <w:p>
      <w:pPr>
        <w:pStyle w:val="ListBullet"/>
        <w:spacing w:after="60"/>
      </w:pPr>
      <w:r>
        <w:t xml:space="preserve">The </w:t>
      </w:r>
      <w:r>
        <w:rPr>
          <w:b/>
        </w:rPr>
        <w:t>"Answr" name</w:t>
      </w:r>
      <w:r>
        <w:t xml:space="preserve"> and word mark.</w:t>
      </w:r>
    </w:p>
    <w:p>
      <w:pPr>
        <w:pStyle w:val="ListBullet"/>
        <w:spacing w:after="60"/>
      </w:pPr>
      <w:r>
        <w:t xml:space="preserve">The </w:t>
      </w:r>
      <w:r>
        <w:rPr>
          <w:b/>
        </w:rPr>
        <w:t>Answr logo / lettermark</w:t>
      </w:r>
      <w:r>
        <w:t xml:space="preserve"> (the "A" glyph and gradient treatment used across the app,</w:t>
      </w:r>
    </w:p>
    <w:p>
      <w:r>
        <w:t xml:space="preserve">  favicon, and social image).</w:t>
      </w:r>
    </w:p>
    <w:p>
      <w:pPr>
        <w:pStyle w:val="ListBullet"/>
        <w:spacing w:after="60"/>
      </w:pPr>
      <w:r>
        <w:t xml:space="preserve">The complete </w:t>
      </w:r>
      <w:r>
        <w:rPr>
          <w:b/>
        </w:rPr>
        <w:t>visual identity</w:t>
      </w:r>
      <w:r>
        <w:t>: color system, typography choices, and design language.</w:t>
      </w:r>
    </w:p>
    <w:p>
      <w:pPr>
        <w:pStyle w:val="ListBullet"/>
        <w:spacing w:after="60"/>
      </w:pPr>
      <w:r>
        <w:rPr>
          <w:rFonts w:ascii="Consolas" w:hAnsi="Consolas"/>
          <w:color w:val="333340"/>
          <w:sz w:val="19"/>
        </w:rPr>
        <w:t>app/favicon.ico</w:t>
      </w:r>
      <w:r>
        <w:t xml:space="preserve"> and the dynamic Open Graph image (</w:t>
      </w:r>
      <w:r>
        <w:rPr>
          <w:rFonts w:ascii="Consolas" w:hAnsi="Consolas"/>
          <w:color w:val="333340"/>
          <w:sz w:val="19"/>
        </w:rPr>
        <w:t>app/opengraph-image.tsx</w:t>
      </w:r>
      <w:r>
        <w:t>).</w:t>
      </w:r>
    </w:p>
    <w:p>
      <w:r>
        <w:rPr>
          <w:b/>
        </w:rPr>
        <w:t>Trademark status: [confirm]</w:t>
      </w:r>
      <w:r>
        <w:t xml:space="preserve"> — whether "Answr" is a registered trademark or common-law/unregistered.</w:t>
      </w:r>
    </w:p>
    <w:p>
      <w:r>
        <w:t>Include any registrations, applications, or usage evidence in the sale schedule. (Note: "Answr" is a</w:t>
      </w:r>
    </w:p>
    <w:p>
      <w:r>
        <w:t>short, evocative name; the buyer may wish to run a clearance check.)</w:t>
      </w:r>
    </w:p>
    <w:p>
      <w:pPr>
        <w:spacing w:before="280" w:after="80"/>
      </w:pPr>
      <w:r>
        <w:rPr>
          <w:rFonts w:ascii="Arial" w:hAnsi="Arial"/>
          <w:b/>
          <w:color w:val="5A4FD0"/>
          <w:sz w:val="27"/>
        </w:rPr>
        <w:t>D. Design assets</w:t>
      </w:r>
    </w:p>
    <w:p>
      <w:pPr>
        <w:pStyle w:val="ListBullet"/>
        <w:spacing w:after="60"/>
      </w:pPr>
      <w:r>
        <w:t xml:space="preserve">The </w:t>
      </w:r>
      <w:r>
        <w:rPr>
          <w:b/>
        </w:rPr>
        <w:t>design system</w:t>
      </w:r>
      <w:r>
        <w:t xml:space="preserve"> — CSS variable/token system in </w:t>
      </w:r>
      <w:r>
        <w:rPr>
          <w:rFonts w:ascii="Consolas" w:hAnsi="Consolas"/>
          <w:color w:val="333340"/>
          <w:sz w:val="19"/>
        </w:rPr>
        <w:t>app/globals.css</w:t>
      </w:r>
      <w:r>
        <w:t>, the responsive layers</w:t>
      </w:r>
    </w:p>
    <w:p>
      <w:r>
        <w:t xml:space="preserve">  (</w:t>
      </w:r>
      <w:r>
        <w:rPr>
          <w:rFonts w:ascii="Consolas" w:hAnsi="Consolas"/>
          <w:color w:val="333340"/>
          <w:sz w:val="19"/>
        </w:rPr>
        <w:t>marketing.css</w:t>
      </w:r>
      <w:r>
        <w:t xml:space="preserve">, </w:t>
      </w:r>
      <w:r>
        <w:rPr>
          <w:rFonts w:ascii="Consolas" w:hAnsi="Consolas"/>
          <w:color w:val="333340"/>
          <w:sz w:val="19"/>
        </w:rPr>
        <w:t>sidebar.css</w:t>
      </w:r>
      <w:r>
        <w:t xml:space="preserve">, </w:t>
      </w:r>
      <w:r>
        <w:rPr>
          <w:rFonts w:ascii="Consolas" w:hAnsi="Consolas"/>
          <w:color w:val="333340"/>
          <w:sz w:val="19"/>
        </w:rPr>
        <w:t>small-screen-gate.css</w:t>
      </w:r>
      <w:r>
        <w:t xml:space="preserve">, </w:t>
      </w:r>
      <w:r>
        <w:rPr>
          <w:rFonts w:ascii="Consolas" w:hAnsi="Consolas"/>
          <w:color w:val="333340"/>
          <w:sz w:val="19"/>
        </w:rPr>
        <w:t>settings-rail.css</w:t>
      </w:r>
      <w:r>
        <w:t>), and per-page CSS.</w:t>
      </w:r>
    </w:p>
    <w:p>
      <w:pPr>
        <w:pStyle w:val="ListBullet"/>
        <w:spacing w:after="60"/>
      </w:pPr>
      <w:r>
        <w:t xml:space="preserve">The </w:t>
      </w:r>
      <w:r>
        <w:rPr>
          <w:b/>
        </w:rPr>
        <w:t>original design canvases</w:t>
      </w:r>
      <w:r>
        <w:t xml:space="preserve"> — </w:t>
      </w:r>
      <w:r>
        <w:rPr>
          <w:rFonts w:ascii="Consolas" w:hAnsi="Consolas"/>
          <w:color w:val="333340"/>
          <w:sz w:val="19"/>
        </w:rPr>
        <w:t>staging/**</w:t>
      </w:r>
      <w:r>
        <w:t>: 146 design frames (+146 CSS) across four canvas</w:t>
      </w:r>
    </w:p>
    <w:p>
      <w:r>
        <w:t xml:space="preserve">  sets (dashboard, dashboard-v2, dashboard-v3, marketing) that are the pixel-source-of-truth the app</w:t>
      </w:r>
    </w:p>
    <w:p>
      <w:r>
        <w:t xml:space="preserve">  was built from. Substantial, transferable design IP.</w:t>
      </w:r>
    </w:p>
    <w:p>
      <w:pPr>
        <w:pStyle w:val="ListBullet"/>
        <w:spacing w:after="60"/>
      </w:pPr>
      <w:r>
        <w:t>The shared UI component library (</w:t>
      </w:r>
      <w:r>
        <w:rPr>
          <w:rFonts w:ascii="Consolas" w:hAnsi="Consolas"/>
          <w:color w:val="333340"/>
          <w:sz w:val="19"/>
        </w:rPr>
        <w:t>components/ui/**</w:t>
      </w:r>
      <w:r>
        <w:t xml:space="preserve">, </w:t>
      </w:r>
      <w:r>
        <w:rPr>
          <w:rFonts w:ascii="Consolas" w:hAnsi="Consolas"/>
          <w:color w:val="333340"/>
          <w:sz w:val="19"/>
        </w:rPr>
        <w:t>components/app/**</w:t>
      </w:r>
      <w:r>
        <w:t xml:space="preserve">, </w:t>
      </w:r>
      <w:r>
        <w:rPr>
          <w:rFonts w:ascii="Consolas" w:hAnsi="Consolas"/>
          <w:color w:val="333340"/>
          <w:sz w:val="19"/>
        </w:rPr>
        <w:t>components/marketing/**</w:t>
      </w:r>
      <w:r>
        <w:t>).</w:t>
      </w:r>
    </w:p>
    <w:p>
      <w:pPr>
        <w:spacing w:before="280" w:after="80"/>
      </w:pPr>
      <w:r>
        <w:rPr>
          <w:rFonts w:ascii="Arial" w:hAnsi="Arial"/>
          <w:b/>
          <w:color w:val="5A4FD0"/>
          <w:sz w:val="27"/>
        </w:rPr>
        <w:t>E. Content &amp; copy</w:t>
      </w:r>
    </w:p>
    <w:p>
      <w:r>
        <w:t>All original written content:</w:t>
      </w:r>
    </w:p>
    <w:p>
      <w:pPr>
        <w:pStyle w:val="ListBullet"/>
        <w:spacing w:after="60"/>
      </w:pPr>
      <w:r>
        <w:t xml:space="preserve">All </w:t>
      </w:r>
      <w:r>
        <w:rPr>
          <w:b/>
        </w:rPr>
        <w:t>marketing copy</w:t>
      </w:r>
      <w:r>
        <w:t xml:space="preserve"> across the 31 public pages.</w:t>
      </w:r>
    </w:p>
    <w:p>
      <w:pPr>
        <w:pStyle w:val="ListBullet"/>
        <w:spacing w:after="60"/>
      </w:pPr>
      <w:r>
        <w:t xml:space="preserve">The </w:t>
      </w:r>
      <w:r>
        <w:rPr>
          <w:b/>
        </w:rPr>
        <w:t>blog article</w:t>
      </w:r>
      <w:r>
        <w:t xml:space="preserve"> ("What 50k prompts taught us") and the changelog.</w:t>
      </w:r>
    </w:p>
    <w:p>
      <w:pPr>
        <w:pStyle w:val="ListBullet"/>
        <w:spacing w:after="60"/>
      </w:pPr>
      <w:r>
        <w:t xml:space="preserve">The </w:t>
      </w:r>
      <w:r>
        <w:rPr>
          <w:b/>
        </w:rPr>
        <w:t>AEO handbook</w:t>
      </w:r>
      <w:r>
        <w:t xml:space="preserve"> (</w:t>
      </w:r>
      <w:r>
        <w:rPr>
          <w:rFonts w:ascii="Consolas" w:hAnsi="Consolas"/>
          <w:color w:val="333340"/>
          <w:sz w:val="19"/>
        </w:rPr>
        <w:t>/resources/aeo-handbook</w:t>
      </w:r>
      <w:r>
        <w:t xml:space="preserve">) and the </w:t>
      </w:r>
      <w:r>
        <w:rPr>
          <w:b/>
        </w:rPr>
        <w:t>Answr Index</w:t>
      </w:r>
      <w:r>
        <w:t xml:space="preserve"> explorer + its dataset.</w:t>
      </w:r>
    </w:p>
    <w:p>
      <w:pPr>
        <w:pStyle w:val="ListBullet"/>
        <w:spacing w:after="60"/>
      </w:pPr>
      <w:r>
        <w:t xml:space="preserve">The </w:t>
      </w:r>
      <w:r>
        <w:rPr>
          <w:b/>
        </w:rPr>
        <w:t>31-metric dictionary</w:t>
      </w:r>
      <w:r>
        <w:t xml:space="preserve"> (</w:t>
      </w:r>
      <w:r>
        <w:rPr>
          <w:rFonts w:ascii="Consolas" w:hAnsi="Consolas"/>
          <w:color w:val="333340"/>
          <w:sz w:val="19"/>
        </w:rPr>
        <w:t>lib/metrics.ts</w:t>
      </w:r>
      <w:r>
        <w:t xml:space="preserve"> / </w:t>
      </w:r>
      <w:r>
        <w:rPr>
          <w:rFonts w:ascii="Consolas" w:hAnsi="Consolas"/>
          <w:color w:val="333340"/>
          <w:sz w:val="19"/>
        </w:rPr>
        <w:t>METRICS.md</w:t>
      </w:r>
      <w:r>
        <w:t>) — the definitions, formulas,</w:t>
      </w:r>
    </w:p>
    <w:p>
      <w:r>
        <w:t xml:space="preserve">  sources, and cadences. A genuinely valuable, original knowledge asset.</w:t>
      </w:r>
    </w:p>
    <w:p>
      <w:pPr>
        <w:pStyle w:val="ListBullet"/>
        <w:spacing w:after="60"/>
      </w:pPr>
      <w:r>
        <w:t>All UI copy, tooltips, and the "honesty layer" copy.</w:t>
      </w:r>
    </w:p>
    <w:p>
      <w:pPr>
        <w:spacing w:before="280" w:after="80"/>
      </w:pPr>
      <w:r>
        <w:rPr>
          <w:rFonts w:ascii="Arial" w:hAnsi="Arial"/>
          <w:b/>
          <w:color w:val="5A4FD0"/>
          <w:sz w:val="27"/>
        </w:rPr>
        <w:t>F. Data &amp; fixtures</w:t>
      </w:r>
    </w:p>
    <w:p>
      <w:pPr>
        <w:pStyle w:val="ListBullet"/>
        <w:spacing w:after="60"/>
      </w:pPr>
      <w:r>
        <w:t xml:space="preserve">The </w:t>
      </w:r>
      <w:r>
        <w:rPr>
          <w:b/>
        </w:rPr>
        <w:t>demo dataset</w:t>
      </w:r>
      <w:r>
        <w:t xml:space="preserve"> — the curated "Nike" sample workspace fixtures (</w:t>
      </w:r>
      <w:r>
        <w:rPr>
          <w:rFonts w:ascii="Consolas" w:hAnsi="Consolas"/>
          <w:color w:val="333340"/>
          <w:sz w:val="19"/>
        </w:rPr>
        <w:t>lib/data/**</w:t>
      </w:r>
      <w:r>
        <w:t>) that power the</w:t>
      </w:r>
    </w:p>
    <w:p>
      <w:r>
        <w:t xml:space="preserve">  demo dashboard.</w:t>
      </w:r>
    </w:p>
    <w:p>
      <w:pPr>
        <w:pStyle w:val="ListBullet"/>
        <w:spacing w:after="60"/>
      </w:pPr>
      <w:r>
        <w:t xml:space="preserve">The </w:t>
      </w:r>
      <w:r>
        <w:rPr>
          <w:b/>
        </w:rPr>
        <w:t>researched conversation transcripts</w:t>
      </w:r>
      <w:r>
        <w:t xml:space="preserve"> (</w:t>
      </w:r>
      <w:r>
        <w:rPr>
          <w:rFonts w:ascii="Consolas" w:hAnsi="Consolas"/>
          <w:color w:val="333340"/>
          <w:sz w:val="19"/>
        </w:rPr>
        <w:t>lib/data/conversations.ts</w:t>
      </w:r>
      <w:r>
        <w:t>) — assembled from real,</w:t>
      </w:r>
    </w:p>
    <w:p>
      <w:r>
        <w:t xml:space="preserve">  URL-verified public pages.</w:t>
      </w:r>
    </w:p>
    <w:p>
      <w:pPr>
        <w:pStyle w:val="ListBullet"/>
        <w:spacing w:after="60"/>
      </w:pPr>
      <w:r>
        <w:t xml:space="preserve">The </w:t>
      </w:r>
      <w:r>
        <w:rPr>
          <w:b/>
        </w:rPr>
        <w:t>AI-bot / user-agent catalog</w:t>
      </w:r>
      <w:r>
        <w:t xml:space="preserve"> and AI-referrer table (</w:t>
      </w:r>
      <w:r>
        <w:rPr>
          <w:rFonts w:ascii="Consolas" w:hAnsi="Consolas"/>
          <w:color w:val="333340"/>
          <w:sz w:val="19"/>
        </w:rPr>
        <w:t>lib/bots.ts</w:t>
      </w:r>
      <w:r>
        <w:t>) — a maintained mapping</w:t>
      </w:r>
    </w:p>
    <w:p>
      <w:r>
        <w:t xml:space="preserve">  of AI crawlers and referrers.</w:t>
      </w:r>
    </w:p>
    <w:p>
      <w:pPr>
        <w:pStyle w:val="ListBullet"/>
        <w:spacing w:after="60"/>
      </w:pPr>
      <w:r>
        <w:t xml:space="preserve">The </w:t>
      </w:r>
      <w:r>
        <w:rPr>
          <w:b/>
        </w:rPr>
        <w:t>first-party referral snippet</w:t>
      </w:r>
      <w:r>
        <w:t xml:space="preserve"> (</w:t>
      </w:r>
      <w:r>
        <w:rPr>
          <w:rFonts w:ascii="Consolas" w:hAnsi="Consolas"/>
          <w:color w:val="333340"/>
          <w:sz w:val="19"/>
        </w:rPr>
        <w:t>public/snippet.js</w:t>
      </w:r>
      <w:r>
        <w:t>).</w:t>
      </w:r>
    </w:p>
    <w:p>
      <w:r>
        <w:t>_(No real customer or end-user personal data exists — the product is pre-launch. Nothing sensitive</w:t>
      </w:r>
    </w:p>
    <w:p>
      <w:r>
        <w:t>transfers, and there is no data-privacy liability attached to the dataset.)_</w:t>
      </w:r>
    </w:p>
    <w:p>
      <w:pPr>
        <w:spacing w:before="280" w:after="80"/>
      </w:pPr>
      <w:r>
        <w:rPr>
          <w:rFonts w:ascii="Arial" w:hAnsi="Arial"/>
          <w:b/>
          <w:color w:val="5A4FD0"/>
          <w:sz w:val="27"/>
        </w:rPr>
        <w:t>G. Documentation &amp; collateral</w:t>
      </w:r>
    </w:p>
    <w:p>
      <w:r>
        <w:t>Original documentation, transferring with the repo:</w:t>
      </w:r>
    </w:p>
    <w:p>
      <w:r>
        <w:rPr>
          <w:b/>
        </w:rPr>
        <w:t>Product / technical docs:</w:t>
      </w:r>
      <w:r>
        <w:t xml:space="preserve"> </w:t>
      </w:r>
      <w:r>
        <w:rPr>
          <w:rFonts w:ascii="Consolas" w:hAnsi="Consolas"/>
          <w:color w:val="333340"/>
          <w:sz w:val="19"/>
        </w:rPr>
        <w:t>PLATFORM_OVERVIEW.md</w:t>
      </w:r>
      <w:r>
        <w:t xml:space="preserve">, </w:t>
      </w:r>
      <w:r>
        <w:rPr>
          <w:rFonts w:ascii="Consolas" w:hAnsi="Consolas"/>
          <w:color w:val="333340"/>
          <w:sz w:val="19"/>
        </w:rPr>
        <w:t>HANDOFF.md</w:t>
      </w:r>
      <w:r>
        <w:t xml:space="preserve">, </w:t>
      </w:r>
      <w:r>
        <w:rPr>
          <w:rFonts w:ascii="Consolas" w:hAnsi="Consolas"/>
          <w:color w:val="333340"/>
          <w:sz w:val="19"/>
        </w:rPr>
        <w:t>LAUNCH_ROADMAP.md</w:t>
      </w:r>
      <w:r>
        <w:t>,</w:t>
      </w:r>
    </w:p>
    <w:p>
      <w:r>
        <w:rPr>
          <w:rFonts w:ascii="Consolas" w:hAnsi="Consolas"/>
          <w:color w:val="333340"/>
          <w:sz w:val="19"/>
        </w:rPr>
        <w:t>INTEGRATIONS.md</w:t>
      </w:r>
      <w:r>
        <w:t xml:space="preserve">, </w:t>
      </w:r>
      <w:r>
        <w:rPr>
          <w:rFonts w:ascii="Consolas" w:hAnsi="Consolas"/>
          <w:color w:val="333340"/>
          <w:sz w:val="19"/>
        </w:rPr>
        <w:t>METRICS.md</w:t>
      </w:r>
      <w:r>
        <w:t xml:space="preserve">, </w:t>
      </w:r>
      <w:r>
        <w:rPr>
          <w:rFonts w:ascii="Consolas" w:hAnsi="Consolas"/>
          <w:color w:val="333340"/>
          <w:sz w:val="19"/>
        </w:rPr>
        <w:t>READINESS.md</w:t>
      </w:r>
      <w:r>
        <w:t xml:space="preserve">, </w:t>
      </w:r>
      <w:r>
        <w:rPr>
          <w:rFonts w:ascii="Consolas" w:hAnsi="Consolas"/>
          <w:color w:val="333340"/>
          <w:sz w:val="19"/>
        </w:rPr>
        <w:t>COST_SPLIT.md</w:t>
      </w:r>
      <w:r>
        <w:t xml:space="preserve">, </w:t>
      </w:r>
      <w:r>
        <w:rPr>
          <w:rFonts w:ascii="Consolas" w:hAnsi="Consolas"/>
          <w:color w:val="333340"/>
          <w:sz w:val="19"/>
        </w:rPr>
        <w:t>README.md</w:t>
      </w:r>
      <w:r>
        <w:t>, and the build-process</w:t>
      </w:r>
    </w:p>
    <w:p>
      <w:r>
        <w:t>docs (</w:t>
      </w:r>
      <w:r>
        <w:rPr>
          <w:rFonts w:ascii="Consolas" w:hAnsi="Consolas"/>
          <w:color w:val="333340"/>
          <w:sz w:val="19"/>
        </w:rPr>
        <w:t>AGENTS.md</w:t>
      </w:r>
      <w:r>
        <w:t xml:space="preserve">, </w:t>
      </w:r>
      <w:r>
        <w:rPr>
          <w:rFonts w:ascii="Consolas" w:hAnsi="Consolas"/>
          <w:color w:val="333340"/>
          <w:sz w:val="19"/>
        </w:rPr>
        <w:t>BUILD_CONVENTIONS.md</w:t>
      </w:r>
      <w:r>
        <w:t xml:space="preserve">, </w:t>
      </w:r>
      <w:r>
        <w:rPr>
          <w:rFonts w:ascii="Consolas" w:hAnsi="Consolas"/>
          <w:color w:val="333340"/>
          <w:sz w:val="19"/>
        </w:rPr>
        <w:t>WIRING_CONVENTIONS.md</w:t>
      </w:r>
      <w:r>
        <w:t xml:space="preserve">, </w:t>
      </w:r>
      <w:r>
        <w:rPr>
          <w:rFonts w:ascii="Consolas" w:hAnsi="Consolas"/>
          <w:color w:val="333340"/>
          <w:sz w:val="19"/>
        </w:rPr>
        <w:t>INTERACTIVITY_CONVENTIONS.md</w:t>
      </w:r>
      <w:r>
        <w:t>,</w:t>
      </w:r>
    </w:p>
    <w:p>
      <w:r>
        <w:rPr>
          <w:rFonts w:ascii="Consolas" w:hAnsi="Consolas"/>
          <w:color w:val="333340"/>
          <w:sz w:val="19"/>
        </w:rPr>
        <w:t>REBRAND_MAP.md</w:t>
      </w:r>
      <w:r>
        <w:t xml:space="preserve">, </w:t>
      </w:r>
      <w:r>
        <w:rPr>
          <w:rFonts w:ascii="Consolas" w:hAnsi="Consolas"/>
          <w:color w:val="333340"/>
          <w:sz w:val="19"/>
        </w:rPr>
        <w:t>AUDIT_FINDINGS.md</w:t>
      </w:r>
      <w:r>
        <w:t xml:space="preserve">, </w:t>
      </w:r>
      <w:r>
        <w:rPr>
          <w:rFonts w:ascii="Consolas" w:hAnsi="Consolas"/>
          <w:color w:val="333340"/>
          <w:sz w:val="19"/>
        </w:rPr>
        <w:t>AUDIT_PROMPT.md</w:t>
      </w:r>
      <w:r>
        <w:t>).</w:t>
      </w:r>
    </w:p>
    <w:p>
      <w:r>
        <w:rPr>
          <w:b/>
        </w:rPr>
        <w:t>Sale collateral:</w:t>
      </w:r>
      <w:r>
        <w:t xml:space="preserve"> the acquisition prospectus, </w:t>
      </w:r>
      <w:r>
        <w:rPr>
          <w:rFonts w:ascii="Consolas" w:hAnsi="Consolas"/>
          <w:color w:val="333340"/>
          <w:sz w:val="19"/>
        </w:rPr>
        <w:t>SALE_LISTING.md</w:t>
      </w:r>
      <w:r>
        <w:t xml:space="preserve">, </w:t>
      </w:r>
      <w:r>
        <w:rPr>
          <w:rFonts w:ascii="Consolas" w:hAnsi="Consolas"/>
          <w:color w:val="333340"/>
          <w:sz w:val="19"/>
        </w:rPr>
        <w:t>LISTING_KIT.md</w:t>
      </w:r>
      <w:r>
        <w:t xml:space="preserve">, </w:t>
      </w:r>
      <w:r>
        <w:rPr>
          <w:rFonts w:ascii="Consolas" w:hAnsi="Consolas"/>
          <w:color w:val="333340"/>
          <w:sz w:val="19"/>
        </w:rPr>
        <w:t>ASSETS_IP.md</w:t>
      </w:r>
    </w:p>
    <w:p>
      <w:r>
        <w:t xml:space="preserve">(this document), plus </w:t>
      </w:r>
      <w:r>
        <w:rPr>
          <w:rFonts w:ascii="Consolas" w:hAnsi="Consolas"/>
          <w:color w:val="333340"/>
          <w:sz w:val="19"/>
        </w:rPr>
        <w:t>GROWTH.md</w:t>
      </w:r>
      <w:r>
        <w:t xml:space="preserve"> and </w:t>
      </w:r>
      <w:r>
        <w:rPr>
          <w:rFonts w:ascii="Consolas" w:hAnsi="Consolas"/>
          <w:color w:val="333340"/>
          <w:sz w:val="19"/>
        </w:rPr>
        <w:t>OUTREACH_DRAFTS.md</w:t>
      </w:r>
      <w:r>
        <w:t>.</w:t>
      </w:r>
    </w:p>
    <w:p>
      <w:r>
        <w:t>_(The buyer may wish to keep the internal build docs private; they are included for completeness and</w:t>
      </w:r>
    </w:p>
    <w:p>
      <w:r>
        <w:t>transferred with the repository.)_</w:t>
      </w:r>
    </w:p>
    <w:p>
      <w:pPr>
        <w:spacing w:before="280" w:after="80"/>
      </w:pPr>
      <w:r>
        <w:rPr>
          <w:rFonts w:ascii="Arial" w:hAnsi="Arial"/>
          <w:b/>
          <w:color w:val="5A4FD0"/>
          <w:sz w:val="27"/>
        </w:rPr>
        <w:t>H. Deployment &amp; configuration</w:t>
      </w:r>
    </w:p>
    <w:p>
      <w:pPr>
        <w:pStyle w:val="ListBullet"/>
        <w:spacing w:after="60"/>
      </w:pPr>
      <w:r>
        <w:t xml:space="preserve">The </w:t>
      </w:r>
      <w:r>
        <w:rPr>
          <w:b/>
        </w:rPr>
        <w:t>Vercel project configuration</w:t>
      </w:r>
      <w:r>
        <w:t xml:space="preserve"> (framework preset, build settings, cron schedule in</w:t>
      </w:r>
    </w:p>
    <w:p>
      <w:r>
        <w:t xml:space="preserve">  </w:t>
      </w:r>
      <w:r>
        <w:rPr>
          <w:rFonts w:ascii="Consolas" w:hAnsi="Consolas"/>
          <w:color w:val="333340"/>
          <w:sz w:val="19"/>
        </w:rPr>
        <w:t>vercel.json</w:t>
      </w:r>
      <w:r>
        <w:t>). The current project id/org (</w:t>
      </w:r>
      <w:r>
        <w:rPr>
          <w:rFonts w:ascii="Consolas" w:hAnsi="Consolas"/>
          <w:color w:val="333340"/>
          <w:sz w:val="19"/>
        </w:rPr>
        <w:t>.vercel/project.json</w:t>
      </w:r>
      <w:r>
        <w:t>) is the seller's; the buyer</w:t>
      </w:r>
    </w:p>
    <w:p>
      <w:r>
        <w:t xml:space="preserve">  redeploys the same codebase under </w:t>
      </w:r>
      <w:r>
        <w:rPr>
          <w:b/>
        </w:rPr>
        <w:t>their own</w:t>
      </w:r>
      <w:r>
        <w:t xml:space="preserve"> Vercel account.</w:t>
      </w:r>
    </w:p>
    <w:p>
      <w:pPr>
        <w:pStyle w:val="ListBullet"/>
        <w:spacing w:after="60"/>
      </w:pPr>
      <w:r>
        <w:t xml:space="preserve">The </w:t>
      </w:r>
      <w:r>
        <w:rPr>
          <w:b/>
        </w:rPr>
        <w:t>GitHub repository</w:t>
      </w:r>
      <w:r>
        <w:t xml:space="preserve"> (</w:t>
      </w:r>
      <w:r>
        <w:rPr>
          <w:rFonts w:ascii="Consolas" w:hAnsi="Consolas"/>
          <w:color w:val="333340"/>
          <w:sz w:val="19"/>
        </w:rPr>
        <w:t>arman4322-sketch/answr</w:t>
      </w:r>
      <w:r>
        <w:t>) — transferred to the buyer's GitHub, or the</w:t>
      </w:r>
    </w:p>
    <w:p>
      <w:r>
        <w:t xml:space="preserve">  code re-hosted under their account.</w:t>
      </w:r>
    </w:p>
    <w:p>
      <w:pPr>
        <w:pStyle w:val="ListBullet"/>
        <w:spacing w:after="60"/>
      </w:pPr>
      <w:r>
        <w:t xml:space="preserve">The </w:t>
      </w:r>
      <w:r>
        <w:rPr>
          <w:b/>
        </w:rPr>
        <w:t>CI/deploy pipeline</w:t>
      </w:r>
      <w:r>
        <w:t xml:space="preserve"> — GitHub → Vercel auto-deploy on push (configuration reproduces under</w:t>
      </w:r>
    </w:p>
    <w:p>
      <w:r>
        <w:t xml:space="preserve">  the buyer's accounts).</w:t>
      </w:r>
    </w:p>
    <w:p>
      <w:pPr>
        <w:pStyle w:val="ListBullet"/>
        <w:spacing w:after="60"/>
      </w:pPr>
      <w:r>
        <w:t xml:space="preserve">The </w:t>
      </w:r>
      <w:r>
        <w:rPr>
          <w:b/>
        </w:rPr>
        <w:t>environment-variable schema</w:t>
      </w:r>
      <w:r>
        <w:t xml:space="preserve"> — the full list of keys the app reads and what each enables</w:t>
      </w:r>
    </w:p>
    <w:p>
      <w:r>
        <w:t xml:space="preserve">  (documented in </w:t>
      </w:r>
      <w:r>
        <w:rPr>
          <w:rFonts w:ascii="Consolas" w:hAnsi="Consolas"/>
          <w:color w:val="333340"/>
          <w:sz w:val="19"/>
        </w:rPr>
        <w:t>HANDOFF.md</w:t>
      </w:r>
      <w:r>
        <w:t>). The keys/values themselves are the buyer's to supply.</w:t>
      </w:r>
    </w:p>
    <w:p>
      <w:pPr>
        <w:spacing w:before="280" w:after="80"/>
      </w:pPr>
      <w:r>
        <w:rPr>
          <w:rFonts w:ascii="Arial" w:hAnsi="Arial"/>
          <w:b/>
          <w:color w:val="5A4FD0"/>
          <w:sz w:val="27"/>
        </w:rPr>
        <w:t>I. Accounts &amp; handover mechanics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5A4FD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Asset</w:t>
            </w:r>
          </w:p>
        </w:tc>
        <w:tc>
          <w:tcPr>
            <w:tcW w:type="dxa" w:w="4680"/>
            <w:shd w:val="clear" w:fill="5A4FD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How it transfers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A1A22"/>
                <w:sz w:val="19"/>
              </w:rPr>
            </w:r>
            <w:r>
              <w:rPr>
                <w:rFonts w:ascii="Arial" w:hAnsi="Arial"/>
                <w:b/>
                <w:color w:val="1A1A22"/>
                <w:sz w:val="19"/>
              </w:rPr>
              <w:t>GitHub repository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A1A22"/>
                <w:sz w:val="19"/>
              </w:rPr>
            </w:r>
            <w:r>
              <w:rPr>
                <w:rFonts w:ascii="Arial" w:hAnsi="Arial"/>
                <w:b w:val="0"/>
                <w:color w:val="1A1A22"/>
                <w:sz w:val="19"/>
              </w:rPr>
              <w:t>Repo transfer to buyer's GitHub org/account (or re-push)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A1A22"/>
                <w:sz w:val="19"/>
              </w:rPr>
            </w:r>
            <w:r>
              <w:rPr>
                <w:rFonts w:ascii="Arial" w:hAnsi="Arial"/>
                <w:b/>
                <w:color w:val="1A1A22"/>
                <w:sz w:val="19"/>
              </w:rPr>
              <w:t>Vercel project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A1A22"/>
                <w:sz w:val="19"/>
              </w:rPr>
            </w:r>
            <w:r>
              <w:rPr>
                <w:rFonts w:ascii="Arial" w:hAnsi="Arial"/>
                <w:b w:val="0"/>
                <w:color w:val="1A1A22"/>
                <w:sz w:val="19"/>
              </w:rPr>
              <w:t>Buyer connects the repo under their own Vercel account and redeploys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A1A22"/>
                <w:sz w:val="19"/>
              </w:rPr>
            </w:r>
            <w:r>
              <w:rPr>
                <w:rFonts w:ascii="Arial" w:hAnsi="Arial"/>
                <w:b/>
                <w:color w:val="1A1A22"/>
                <w:sz w:val="19"/>
              </w:rPr>
              <w:t>Domain (useanswr.com)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A1A22"/>
                <w:sz w:val="19"/>
              </w:rPr>
            </w:r>
            <w:r>
              <w:rPr>
                <w:rFonts w:ascii="Arial" w:hAnsi="Arial"/>
                <w:b w:val="0"/>
                <w:color w:val="1A1A22"/>
                <w:sz w:val="19"/>
              </w:rPr>
              <w:t>Registrar-to-registrar transfer (auth code) to the buyer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A1A22"/>
                <w:sz w:val="19"/>
              </w:rPr>
            </w:r>
            <w:r>
              <w:rPr>
                <w:rFonts w:ascii="Arial" w:hAnsi="Arial"/>
                <w:b/>
                <w:color w:val="1A1A22"/>
                <w:sz w:val="19"/>
              </w:rPr>
              <w:t>Email addresses (e.g. security@ / privacy@ on the domain)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A1A22"/>
                <w:sz w:val="19"/>
              </w:rPr>
            </w:r>
            <w:r>
              <w:rPr>
                <w:rFonts w:ascii="Arial" w:hAnsi="Arial"/>
                <w:b w:val="0"/>
                <w:color w:val="1A1A22"/>
                <w:sz w:val="19"/>
              </w:rPr>
              <w:t>Transfer with the domain / buyer re-provisions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A1A22"/>
                <w:sz w:val="19"/>
              </w:rPr>
            </w:r>
            <w:r>
              <w:rPr>
                <w:rFonts w:ascii="Arial" w:hAnsi="Arial"/>
                <w:b/>
                <w:color w:val="1A1A22"/>
                <w:sz w:val="19"/>
              </w:rPr>
              <w:t>Env vars / secrets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A1A22"/>
                <w:sz w:val="19"/>
              </w:rPr>
            </w:r>
            <w:r>
              <w:rPr>
                <w:rFonts w:ascii="Arial" w:hAnsi="Arial"/>
                <w:b w:val="0"/>
                <w:color w:val="1A1A22"/>
                <w:sz w:val="19"/>
              </w:rPr>
              <w:t>Not transferred (buyer supplies their own — see §K)</w:t>
            </w:r>
          </w:p>
        </w:tc>
      </w:tr>
    </w:tbl>
    <w:p>
      <w:pPr>
        <w:spacing w:after="40"/>
      </w:pPr>
    </w:p>
    <w:p>
      <w:r>
        <w:t>See the transition/handover plan (separate deliverable) for the step-by-step.</w:t>
      </w:r>
    </w:p>
    <w:p>
      <w:pPr>
        <w:spacing w:before="280" w:after="80"/>
      </w:pPr>
      <w:r>
        <w:rPr>
          <w:rFonts w:ascii="Arial" w:hAnsi="Arial"/>
          <w:b/>
          <w:color w:val="5A4FD0"/>
          <w:sz w:val="27"/>
        </w:rPr>
        <w:t>J. Third-party components &amp; licenses (all permissive)</w:t>
      </w:r>
    </w:p>
    <w:p>
      <w:r>
        <w:t>The software depends only on permissively licensed open-source, which the buyer may freely use</w:t>
      </w:r>
    </w:p>
    <w:p>
      <w:r>
        <w:t>commercially: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5A4FD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120"/>
            <w:shd w:val="clear" w:fill="5A4FD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3120"/>
            <w:shd w:val="clear" w:fill="5A4FD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License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A1A22"/>
                <w:sz w:val="19"/>
              </w:rPr>
            </w:r>
            <w:r>
              <w:rPr>
                <w:rFonts w:ascii="Arial" w:hAnsi="Arial"/>
                <w:b/>
                <w:color w:val="1A1A22"/>
                <w:sz w:val="19"/>
              </w:rPr>
              <w:t>Next.js, React, React-DOM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A1A22"/>
                <w:sz w:val="19"/>
              </w:rPr>
            </w:r>
            <w:r>
              <w:rPr>
                <w:rFonts w:ascii="Arial" w:hAnsi="Arial"/>
                <w:b w:val="0"/>
                <w:color w:val="1A1A22"/>
                <w:sz w:val="19"/>
              </w:rPr>
              <w:t>Framework / runtime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A1A22"/>
                <w:sz w:val="19"/>
              </w:rPr>
            </w:r>
            <w:r>
              <w:rPr>
                <w:rFonts w:ascii="Arial" w:hAnsi="Arial"/>
                <w:b w:val="0"/>
                <w:color w:val="1A1A22"/>
                <w:sz w:val="19"/>
              </w:rPr>
              <w:t>MIT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A1A22"/>
                <w:sz w:val="19"/>
              </w:rPr>
            </w:r>
            <w:r>
              <w:rPr>
                <w:rFonts w:ascii="Arial" w:hAnsi="Arial"/>
                <w:b/>
                <w:color w:val="1A1A22"/>
                <w:sz w:val="19"/>
              </w:rPr>
              <w:t>d3-geo, topojson-client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A1A22"/>
                <w:sz w:val="19"/>
              </w:rPr>
            </w:r>
            <w:r>
              <w:rPr>
                <w:rFonts w:ascii="Arial" w:hAnsi="Arial"/>
                <w:b w:val="0"/>
                <w:color w:val="1A1A22"/>
                <w:sz w:val="19"/>
              </w:rPr>
              <w:t>Region map rendering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A1A22"/>
                <w:sz w:val="19"/>
              </w:rPr>
            </w:r>
            <w:r>
              <w:rPr>
                <w:rFonts w:ascii="Arial" w:hAnsi="Arial"/>
                <w:b w:val="0"/>
                <w:color w:val="1A1A22"/>
                <w:sz w:val="19"/>
              </w:rPr>
              <w:t>ISC / BSD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A1A22"/>
                <w:sz w:val="19"/>
              </w:rPr>
            </w:r>
            <w:r>
              <w:rPr>
                <w:rFonts w:ascii="Arial" w:hAnsi="Arial"/>
                <w:b/>
                <w:color w:val="1A1A22"/>
                <w:sz w:val="19"/>
              </w:rPr>
              <w:t>world-atlas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A1A22"/>
                <w:sz w:val="19"/>
              </w:rPr>
            </w:r>
            <w:r>
              <w:rPr>
                <w:rFonts w:ascii="Arial" w:hAnsi="Arial"/>
                <w:b w:val="0"/>
                <w:color w:val="1A1A22"/>
                <w:sz w:val="19"/>
              </w:rPr>
              <w:t>Map topology data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A1A22"/>
                <w:sz w:val="19"/>
              </w:rPr>
            </w:r>
            <w:r>
              <w:rPr>
                <w:rFonts w:ascii="Arial" w:hAnsi="Arial"/>
                <w:b w:val="0"/>
                <w:color w:val="1A1A22"/>
                <w:sz w:val="19"/>
              </w:rPr>
              <w:t>(public-domain-derived Natural Earth)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A1A22"/>
                <w:sz w:val="19"/>
              </w:rPr>
            </w:r>
            <w:r>
              <w:rPr>
                <w:rFonts w:ascii="Arial" w:hAnsi="Arial"/>
                <w:b/>
                <w:color w:val="1A1A22"/>
                <w:sz w:val="19"/>
              </w:rPr>
              <w:t>simple-icons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A1A22"/>
                <w:sz w:val="19"/>
              </w:rPr>
            </w:r>
            <w:r>
              <w:rPr>
                <w:rFonts w:ascii="Arial" w:hAnsi="Arial"/>
                <w:b w:val="0"/>
                <w:color w:val="1A1A22"/>
                <w:sz w:val="19"/>
              </w:rPr>
              <w:t>Brand icons on the logo/tech strips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A1A22"/>
                <w:sz w:val="19"/>
              </w:rPr>
            </w:r>
            <w:r>
              <w:rPr>
                <w:rFonts w:ascii="Arial" w:hAnsi="Arial"/>
                <w:b w:val="0"/>
                <w:color w:val="1A1A22"/>
                <w:sz w:val="19"/>
              </w:rPr>
              <w:t>CC0 (icons themselves are third-party trademarks — see §L)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A1A22"/>
                <w:sz w:val="19"/>
              </w:rPr>
            </w:r>
            <w:r>
              <w:rPr>
                <w:rFonts w:ascii="Arial" w:hAnsi="Arial"/>
                <w:b/>
                <w:color w:val="1A1A22"/>
                <w:sz w:val="19"/>
              </w:rPr>
              <w:t>Tailwind CSS v4, PostCSS, TypeScript, parse5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A1A22"/>
                <w:sz w:val="19"/>
              </w:rPr>
            </w:r>
            <w:r>
              <w:rPr>
                <w:rFonts w:ascii="Arial" w:hAnsi="Arial"/>
                <w:b w:val="0"/>
                <w:color w:val="1A1A22"/>
                <w:sz w:val="19"/>
              </w:rPr>
              <w:t>Build tooling (dev)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A1A22"/>
                <w:sz w:val="19"/>
              </w:rPr>
            </w:r>
            <w:r>
              <w:rPr>
                <w:rFonts w:ascii="Arial" w:hAnsi="Arial"/>
                <w:b w:val="0"/>
                <w:color w:val="1A1A22"/>
                <w:sz w:val="19"/>
              </w:rPr>
              <w:t>MIT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A1A22"/>
                <w:sz w:val="19"/>
              </w:rPr>
            </w:r>
            <w:r>
              <w:rPr>
                <w:rFonts w:ascii="Arial" w:hAnsi="Arial"/>
                <w:b/>
                <w:color w:val="1A1A22"/>
                <w:sz w:val="19"/>
              </w:rPr>
              <w:t xml:space="preserve">Inter (via </w:t>
            </w:r>
            <w:r>
              <w:rPr>
                <w:rFonts w:ascii="Arial" w:hAnsi="Arial"/>
                <w:b/>
                <w:color w:val="1A1A22"/>
                <w:sz w:val="19"/>
              </w:rPr>
              <w:t>next/font</w:t>
            </w:r>
            <w:r>
              <w:rPr>
                <w:rFonts w:ascii="Arial" w:hAnsi="Arial"/>
                <w:b/>
                <w:color w:val="1A1A22"/>
                <w:sz w:val="19"/>
              </w:rPr>
              <w:t>)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A1A22"/>
                <w:sz w:val="19"/>
              </w:rPr>
            </w:r>
            <w:r>
              <w:rPr>
                <w:rFonts w:ascii="Arial" w:hAnsi="Arial"/>
                <w:b w:val="0"/>
                <w:color w:val="1A1A22"/>
                <w:sz w:val="19"/>
              </w:rPr>
              <w:t>UI typeface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1A1A22"/>
                <w:sz w:val="19"/>
              </w:rPr>
            </w:r>
            <w:r>
              <w:rPr>
                <w:rFonts w:ascii="Arial" w:hAnsi="Arial"/>
                <w:b w:val="0"/>
                <w:color w:val="1A1A22"/>
                <w:sz w:val="19"/>
              </w:rPr>
              <w:t>SIL Open Font License</w:t>
            </w:r>
          </w:p>
        </w:tc>
      </w:tr>
    </w:tbl>
    <w:p>
      <w:pPr>
        <w:spacing w:after="40"/>
      </w:pPr>
    </w:p>
    <w:p>
      <w:r>
        <w:t>No copyleft (GPL/AGPL) dependencies are present in the shipped application. No paid or proprietary</w:t>
      </w:r>
    </w:p>
    <w:p>
      <w:r>
        <w:t>libraries are bundled.</w:t>
      </w:r>
    </w:p>
    <w:p>
      <w:pPr>
        <w:spacing w:before="280" w:after="80"/>
      </w:pPr>
      <w:r>
        <w:rPr>
          <w:rFonts w:ascii="Arial" w:hAnsi="Arial"/>
          <w:b/>
          <w:color w:val="5A4FD0"/>
          <w:sz w:val="27"/>
        </w:rPr>
        <w:t>K. Excluded — does NOT transfer / buyer provides</w:t>
      </w:r>
    </w:p>
    <w:p>
      <w:pPr>
        <w:pStyle w:val="ListBullet"/>
        <w:spacing w:after="60"/>
      </w:pPr>
      <w:r>
        <w:rPr>
          <w:b/>
        </w:rPr>
        <w:t>API keys and secrets</w:t>
      </w:r>
      <w:r>
        <w:t xml:space="preserve"> — Perplexity, Gemini, DataForSEO, Anthropic, OpenAI, and any storage/email</w:t>
      </w:r>
    </w:p>
    <w:p>
      <w:r>
        <w:t xml:space="preserve">  keys are the buyer's to obtain; none are included or present in the repo.</w:t>
      </w:r>
    </w:p>
    <w:p>
      <w:pPr>
        <w:pStyle w:val="ListBullet"/>
        <w:spacing w:after="60"/>
      </w:pPr>
      <w:r>
        <w:rPr>
          <w:b/>
        </w:rPr>
        <w:t>Third-party accounts</w:t>
      </w:r>
      <w:r>
        <w:t xml:space="preserve"> — the seller's Vercel, provider, and registrar accounts (the buyer uses</w:t>
      </w:r>
    </w:p>
    <w:p>
      <w:r>
        <w:t xml:space="preserve">  their own).</w:t>
      </w:r>
    </w:p>
    <w:p>
      <w:pPr>
        <w:pStyle w:val="ListBullet"/>
        <w:spacing w:after="60"/>
      </w:pPr>
      <w:r>
        <w:rPr>
          <w:b/>
        </w:rPr>
        <w:t>Real customer data</w:t>
      </w:r>
      <w:r>
        <w:t xml:space="preserve"> — none exists (pre-launch).</w:t>
      </w:r>
    </w:p>
    <w:p>
      <w:pPr>
        <w:pStyle w:val="ListBullet"/>
        <w:spacing w:after="60"/>
      </w:pPr>
      <w:r>
        <w:rPr>
          <w:b/>
        </w:rPr>
        <w:t>Default starter assets</w:t>
      </w:r>
      <w:r>
        <w:t xml:space="preserve"> — </w:t>
      </w:r>
      <w:r>
        <w:rPr>
          <w:rFonts w:ascii="Consolas" w:hAnsi="Consolas"/>
          <w:color w:val="333340"/>
          <w:sz w:val="19"/>
        </w:rPr>
        <w:t>public/next.svg</w:t>
      </w:r>
      <w:r>
        <w:t xml:space="preserve">, </w:t>
      </w:r>
      <w:r>
        <w:rPr>
          <w:rFonts w:ascii="Consolas" w:hAnsi="Consolas"/>
          <w:color w:val="333340"/>
          <w:sz w:val="19"/>
        </w:rPr>
        <w:t>vercel.svg</w:t>
      </w:r>
      <w:r>
        <w:t xml:space="preserve">, </w:t>
      </w:r>
      <w:r>
        <w:rPr>
          <w:rFonts w:ascii="Consolas" w:hAnsi="Consolas"/>
          <w:color w:val="333340"/>
          <w:sz w:val="19"/>
        </w:rPr>
        <w:t>file.svg</w:t>
      </w:r>
      <w:r>
        <w:t xml:space="preserve">, </w:t>
      </w:r>
      <w:r>
        <w:rPr>
          <w:rFonts w:ascii="Consolas" w:hAnsi="Consolas"/>
          <w:color w:val="333340"/>
          <w:sz w:val="19"/>
        </w:rPr>
        <w:t>globe.svg</w:t>
      </w:r>
      <w:r>
        <w:t xml:space="preserve">, </w:t>
      </w:r>
      <w:r>
        <w:rPr>
          <w:rFonts w:ascii="Consolas" w:hAnsi="Consolas"/>
          <w:color w:val="333340"/>
          <w:sz w:val="19"/>
        </w:rPr>
        <w:t>window.svg</w:t>
      </w:r>
    </w:p>
    <w:p>
      <w:r>
        <w:t xml:space="preserve">  are Next.js/Vercel starter placeholders (Vercel/Next marks or generic icons), not Answr IP; the</w:t>
      </w:r>
    </w:p>
    <w:p>
      <w:r>
        <w:t xml:space="preserve">  buyer can delete them.</w:t>
      </w:r>
    </w:p>
    <w:p>
      <w:pPr>
        <w:spacing w:before="280" w:after="80"/>
      </w:pPr>
      <w:r>
        <w:rPr>
          <w:rFonts w:ascii="Arial" w:hAnsi="Arial"/>
          <w:b/>
          <w:color w:val="5A4FD0"/>
          <w:sz w:val="27"/>
        </w:rPr>
        <w:t>L. IP warranties &amp; encumbrances to disclose</w:t>
      </w:r>
    </w:p>
    <w:p>
      <w:r>
        <w:t>Stated plainly so the buyer is fully informed (and to protect the seller):</w:t>
      </w:r>
    </w:p>
    <w:p>
      <w:r>
        <w:t xml:space="preserve">1. </w:t>
      </w:r>
      <w:r>
        <w:rPr>
          <w:b/>
        </w:rPr>
        <w:t>Third-party trademarks appear in the demo content.</w:t>
      </w:r>
      <w:r>
        <w:t xml:space="preserve"> The sample workspace and marketing pages</w:t>
      </w:r>
    </w:p>
    <w:p>
      <w:r>
        <w:t xml:space="preserve">   reference real brand </w:t>
      </w:r>
      <w:r>
        <w:rPr>
          <w:b/>
        </w:rPr>
        <w:t>names</w:t>
      </w:r>
      <w:r>
        <w:t xml:space="preserve"> (e.g. Nike, Adidas, and running-shoe competitors) and render</w:t>
      </w:r>
    </w:p>
    <w:p>
      <w:r>
        <w:t xml:space="preserve">   third-party </w:t>
      </w:r>
      <w:r>
        <w:rPr>
          <w:b/>
        </w:rPr>
        <w:t>logos</w:t>
      </w:r>
      <w:r>
        <w:t xml:space="preserve"> (via </w:t>
      </w:r>
      <w:r>
        <w:rPr>
          <w:rFonts w:ascii="Consolas" w:hAnsi="Consolas"/>
          <w:color w:val="333340"/>
          <w:sz w:val="19"/>
        </w:rPr>
        <w:t>simple-icons</w:t>
      </w:r>
      <w:r>
        <w:t xml:space="preserve">, and the </w:t>
      </w:r>
      <w:r>
        <w:rPr>
          <w:rFonts w:ascii="Consolas" w:hAnsi="Consolas"/>
          <w:color w:val="333340"/>
          <w:sz w:val="19"/>
        </w:rPr>
        <w:t>public/logos/bell.svg</w:t>
      </w:r>
      <w:r>
        <w:t xml:space="preserve"> /</w:t>
      </w:r>
    </w:p>
    <w:p>
      <w:r>
        <w:t xml:space="preserve">   </w:t>
      </w:r>
      <w:r>
        <w:rPr>
          <w:rFonts w:ascii="Consolas" w:hAnsi="Consolas"/>
          <w:color w:val="333340"/>
          <w:sz w:val="19"/>
        </w:rPr>
        <w:t>mty-food-group.svg</w:t>
      </w:r>
      <w:r>
        <w:t xml:space="preserve"> case-study marks). These marks are the property of their owners, are </w:t>
      </w:r>
      <w:r>
        <w:rPr>
          <w:b/>
        </w:rPr>
        <w:t>not</w:t>
      </w:r>
    </w:p>
    <w:p>
      <w:r>
        <w:t xml:space="preserve">   Answr IP, and do </w:t>
      </w:r>
      <w:r>
        <w:rPr>
          <w:b/>
        </w:rPr>
        <w:t>not</w:t>
      </w:r>
      <w:r>
        <w:t xml:space="preserve"> transfer as owned IP. The buyer should confirm permission for, or replace,</w:t>
      </w:r>
    </w:p>
    <w:p>
      <w:r>
        <w:t xml:space="preserve">   any named-customer references (Bell Media, MTY Food Group) before relying on them — see</w:t>
      </w:r>
    </w:p>
    <w:p>
      <w:r>
        <w:t xml:space="preserve">   </w:t>
      </w:r>
      <w:r>
        <w:rPr>
          <w:rFonts w:ascii="Consolas" w:hAnsi="Consolas"/>
          <w:color w:val="333340"/>
          <w:sz w:val="19"/>
        </w:rPr>
        <w:t>LAUNCH_ROADMAP.md</w:t>
      </w:r>
      <w:r>
        <w:t xml:space="preserve"> C2.</w:t>
      </w:r>
    </w:p>
    <w:p>
      <w:r>
        <w:t xml:space="preserve">2. </w:t>
      </w:r>
      <w:r>
        <w:rPr>
          <w:b/>
        </w:rPr>
        <w:t>Originality.</w:t>
      </w:r>
      <w:r>
        <w:t xml:space="preserve"> The application source, design canvases, metric dictionary, and written content</w:t>
      </w:r>
    </w:p>
    <w:p>
      <w:r>
        <w:t xml:space="preserve">   are original work created for this project (assisted by AI tooling); no third-party proprietary</w:t>
      </w:r>
    </w:p>
    <w:p>
      <w:r>
        <w:t xml:space="preserve">   code is copied in.</w:t>
      </w:r>
    </w:p>
    <w:p>
      <w:r>
        <w:t xml:space="preserve">3. </w:t>
      </w:r>
      <w:r>
        <w:rPr>
          <w:b/>
        </w:rPr>
        <w:t>Legal-document templates.</w:t>
      </w:r>
      <w:r>
        <w:t xml:space="preserve"> The starter Privacy / Terms / DPA pages are original drafts written</w:t>
      </w:r>
    </w:p>
    <w:p>
      <w:r>
        <w:t xml:space="preserve">   for this product; they contain placeholders and should be finalized by counsel (they are not</w:t>
      </w:r>
    </w:p>
    <w:p>
      <w:r>
        <w:t xml:space="preserve">   copied from a licensed generator).</w:t>
      </w:r>
    </w:p>
    <w:p>
      <w:r>
        <w:t xml:space="preserve">4. </w:t>
      </w:r>
      <w:r>
        <w:rPr>
          <w:b/>
        </w:rPr>
        <w:t>`answr.io` ownership</w:t>
      </w:r>
      <w:r>
        <w:t xml:space="preserve"> and </w:t>
      </w:r>
      <w:r>
        <w:rPr>
          <w:b/>
        </w:rPr>
        <w:t>"Answr" trademark registration</w:t>
      </w:r>
      <w:r>
        <w:t xml:space="preserve"> status are </w:t>
      </w:r>
      <w:r>
        <w:rPr>
          <w:b/>
        </w:rPr>
        <w:t>[confirm]</w:t>
      </w:r>
      <w:r>
        <w:t xml:space="preserve"> items —</w:t>
      </w:r>
    </w:p>
    <w:p>
      <w:r>
        <w:t xml:space="preserve">   include the answer in the sale schedule.</w:t>
      </w:r>
    </w:p>
    <w:p>
      <w:pPr>
        <w:spacing w:before="280" w:after="80"/>
      </w:pPr>
      <w:r>
        <w:rPr>
          <w:rFonts w:ascii="Arial" w:hAnsi="Arial"/>
          <w:b/>
          <w:color w:val="5A4FD0"/>
          <w:sz w:val="27"/>
        </w:rPr>
        <w:t>Summary</w:t>
      </w:r>
    </w:p>
    <w:p>
      <w:r>
        <w:t>The sale transfers a complete, self-contained software asset: original source code and the engine,</w:t>
      </w:r>
    </w:p>
    <w:p>
      <w:r>
        <w:t xml:space="preserve">the Answr brand and </w:t>
      </w:r>
      <w:r>
        <w:rPr>
          <w:rFonts w:ascii="Consolas" w:hAnsi="Consolas"/>
          <w:color w:val="333340"/>
          <w:sz w:val="19"/>
        </w:rPr>
        <w:t>useanswr.com</w:t>
      </w:r>
      <w:r>
        <w:t xml:space="preserve"> domain, the full design system and design canvases, all original</w:t>
      </w:r>
    </w:p>
    <w:p>
      <w:r>
        <w:t>content and the metric dictionary, the demo dataset, and the full documentation set — built entirely</w:t>
      </w:r>
    </w:p>
    <w:p>
      <w:r>
        <w:t>on permissively licensed open-source with no copyleft or proprietary encumbrances. The only items a</w:t>
      </w:r>
    </w:p>
    <w:p>
      <w:r>
        <w:t>buyer supplies are their own API keys and accounts. The only disclosures of note are the third-party</w:t>
      </w:r>
    </w:p>
    <w:p>
      <w:r>
        <w:t xml:space="preserve">marks used in demo content and the two </w:t>
      </w:r>
      <w:r>
        <w:rPr>
          <w:b/>
        </w:rPr>
        <w:t>[confirm]</w:t>
      </w:r>
      <w:r>
        <w:t xml:space="preserve"> items above.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A1A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