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ISMS Scope</w:t>
      </w:r>
    </w:p>
    <w:p>
      <w:pPr>
        <w:jc w:val="center"/>
      </w:pPr>
      <w:r>
        <w:rPr>
          <w:i/>
          <w:sz w:val="20"/>
        </w:rPr>
        <w:t>ISO 27001 GRC Simulation — PT Maju Jaya Digital</w:t>
      </w:r>
    </w:p>
    <w:p>
      <w:pPr>
        <w:pStyle w:val="Heading1"/>
      </w:pPr>
      <w:r>
        <w:t>Organization</w:t>
      </w:r>
    </w:p>
    <w:p>
      <w:r>
        <w:t>PT Maju Jaya Digital (fictional organization).</w:t>
      </w:r>
    </w:p>
    <w:p>
      <w:pPr>
        <w:pStyle w:val="Heading1"/>
      </w:pPr>
      <w:r>
        <w:t>Scope</w:t>
      </w:r>
    </w:p>
    <w:p>
      <w:r>
        <w:t>The simulated ISMS covers the HR application, HR database, cloud infrastructure, and the IT team responsible for managing the environment.</w:t>
      </w:r>
    </w:p>
    <w:p>
      <w:pPr>
        <w:pStyle w:val="Heading1"/>
      </w:pPr>
      <w:r>
        <w:t>Objective</w:t>
      </w:r>
    </w:p>
    <w:p>
      <w:r>
        <w:t>Establish a structured approach to managing information security risks affecting employee data and supporting IT services.</w:t>
      </w:r>
    </w:p>
    <w:p>
      <w:pPr>
        <w:pStyle w:val="Heading1"/>
      </w:pPr>
      <w:r>
        <w:t>Out of Scope</w:t>
      </w:r>
    </w:p>
    <w:p>
      <w:r>
        <w:t>Business units and systems outside the defined HR environment and responsible IT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