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Password &amp; Access Control Policy</w:t>
      </w:r>
    </w:p>
    <w:p>
      <w:pPr>
        <w:jc w:val="center"/>
      </w:pPr>
      <w:r>
        <w:rPr>
          <w:i/>
          <w:sz w:val="20"/>
        </w:rPr>
        <w:t>PT Maju Jaya Digital — Simulated Policy</w:t>
      </w:r>
    </w:p>
    <w:p>
      <w:pPr>
        <w:pStyle w:val="Heading1"/>
      </w:pPr>
      <w:r>
        <w:t>1. Purpose</w:t>
      </w:r>
    </w:p>
    <w:p>
      <w:r>
        <w:t>Establish minimum requirements for password security and access control to protect company information and systems.</w:t>
      </w:r>
    </w:p>
    <w:p>
      <w:pPr>
        <w:pStyle w:val="Heading1"/>
      </w:pPr>
      <w:r>
        <w:t>2. Scope</w:t>
      </w:r>
    </w:p>
    <w:p>
      <w:r>
        <w:t>All employees, contractors, administrators, and users who access company systems.</w:t>
      </w:r>
    </w:p>
    <w:p>
      <w:pPr>
        <w:pStyle w:val="Heading1"/>
      </w:pPr>
      <w:r>
        <w:t>3. Policy Requirements</w:t>
      </w:r>
    </w:p>
    <w:p>
      <w:pPr>
        <w:pStyle w:val="ListBullet"/>
      </w:pPr>
      <w:r>
        <w:t>Passwords must contain at least 12 characters.</w:t>
      </w:r>
    </w:p>
    <w:p>
      <w:pPr>
        <w:pStyle w:val="ListBullet"/>
      </w:pPr>
      <w:r>
        <w:t>Passwords must include letters, numbers, and symbols.</w:t>
      </w:r>
    </w:p>
    <w:p>
      <w:pPr>
        <w:pStyle w:val="ListBullet"/>
      </w:pPr>
      <w:r>
        <w:t>Users must not use easily guessed information such as birthdays.</w:t>
      </w:r>
    </w:p>
    <w:p>
      <w:pPr>
        <w:pStyle w:val="ListBullet"/>
      </w:pPr>
      <w:r>
        <w:t>Passwords must not be shared with unauthorized persons.</w:t>
      </w:r>
    </w:p>
    <w:p>
      <w:pPr>
        <w:pStyle w:val="ListBullet"/>
      </w:pPr>
      <w:r>
        <w:t>MFA must be enabled for applicable accounts, especially privileged administrator accounts.</w:t>
      </w:r>
    </w:p>
    <w:p>
      <w:pPr>
        <w:pStyle w:val="Heading1"/>
      </w:pPr>
      <w:r>
        <w:t>4. Responsibilities</w:t>
      </w:r>
    </w:p>
    <w:p>
      <w:pPr>
        <w:pStyle w:val="ListBullet"/>
      </w:pPr>
      <w:r>
        <w:t>Users: protect credential confidentiality and follow the policy.</w:t>
      </w:r>
    </w:p>
    <w:p>
      <w:pPr>
        <w:pStyle w:val="ListBullet"/>
      </w:pPr>
      <w:r>
        <w:t>IT: implement and maintain technical controls.</w:t>
      </w:r>
    </w:p>
    <w:p>
      <w:pPr>
        <w:pStyle w:val="ListBullet"/>
      </w:pPr>
      <w:r>
        <w:t>GRC: monitor implementation, review compliance, and coordinate corrective actions.</w:t>
      </w:r>
    </w:p>
    <w:p>
      <w:pPr>
        <w:pStyle w:val="Heading1"/>
      </w:pPr>
      <w:r>
        <w:t>5. Enforcement</w:t>
      </w:r>
    </w:p>
    <w:p>
      <w:r>
        <w:t>Violations may result in access restriction and other actions in accordance with company procedures.</w:t>
      </w:r>
    </w:p>
    <w:p>
      <w:pPr>
        <w:pStyle w:val="Heading1"/>
      </w:pPr>
      <w:r>
        <w:t>6. Review</w:t>
      </w:r>
    </w:p>
    <w:p>
      <w:r>
        <w:t>The policy should be reviewed periodically and when significant changes occur.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