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Audit Findings</w:t>
      </w:r>
    </w:p>
    <w:p>
      <w:pPr>
        <w:jc w:val="center"/>
      </w:pPr>
      <w:r>
        <w:rPr>
          <w:i/>
          <w:sz w:val="20"/>
        </w:rPr>
        <w:t>A-03 and A-04 — Simulated Internal Audit</w:t>
      </w:r>
    </w:p>
    <w:p>
      <w:pPr>
        <w:pStyle w:val="Heading1"/>
      </w:pPr>
      <w:r>
        <w:t>A-03 — Administrator MFA</w:t>
      </w:r>
    </w:p>
    <w:p>
      <w:r>
        <w:t>Requirement: privileged administrator accounts should use MFA. Evidence: 1 of 8 administrator accounts did not have MFA enabled. Risk/Impact: potential account compromise and misuse of privileged access. Corrective action: enable MFA. Owner: IT Manager. Status: Closed after evidence verification.</w:t>
      </w:r>
    </w:p>
    <w:p>
      <w:pPr>
        <w:pStyle w:val="Heading1"/>
      </w:pPr>
      <w:r>
        <w:t>A-04 — Password Sharing</w:t>
      </w:r>
    </w:p>
    <w:p>
      <w:r>
        <w:t>Requirement: users must not share passwords with unauthorized persons. Evidence: one employee reported sharing a password during leave coverage. Risk/Impact: unauthorized access and loss of accountability. Corrective action: reset the affected password and conduct security awareness. Owner: IT Manager / HR. Status: Open pending security-awareness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