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C69" w:rsidRPr="00F84AD2" w:rsidRDefault="00525C69" w:rsidP="00525C69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F84AD2">
        <w:rPr>
          <w:rFonts w:ascii="Arial" w:eastAsia="Calibri" w:hAnsi="Arial" w:cs="Arial"/>
          <w:b/>
          <w:sz w:val="20"/>
          <w:szCs w:val="20"/>
        </w:rPr>
        <w:t>Estímulo fiscal para automóviles híbridos y eléctricos en el presupuesto 2020 de Querétaro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31"/>
        <w:gridCol w:w="7631"/>
      </w:tblGrid>
      <w:tr w:rsidR="00525C69" w:rsidRPr="00F84AD2" w:rsidTr="00525C69">
        <w:tc>
          <w:tcPr>
            <w:tcW w:w="7631" w:type="dxa"/>
            <w:shd w:val="clear" w:color="auto" w:fill="E7E6E6" w:themeFill="background2"/>
          </w:tcPr>
          <w:p w:rsidR="00525C69" w:rsidRPr="00F84AD2" w:rsidRDefault="00525C69" w:rsidP="00525C6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4AD2">
              <w:rPr>
                <w:rFonts w:ascii="Arial" w:hAnsi="Arial" w:cs="Arial"/>
                <w:b/>
                <w:sz w:val="20"/>
                <w:szCs w:val="20"/>
              </w:rPr>
              <w:t xml:space="preserve">Texto </w:t>
            </w:r>
          </w:p>
          <w:p w:rsidR="00525C69" w:rsidRPr="00F84AD2" w:rsidRDefault="00525C69" w:rsidP="00525C6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4AD2">
              <w:rPr>
                <w:rFonts w:ascii="Arial" w:hAnsi="Arial" w:cs="Arial"/>
                <w:b/>
                <w:sz w:val="20"/>
                <w:szCs w:val="20"/>
              </w:rPr>
              <w:t>Dip. Tania Palacios</w:t>
            </w:r>
          </w:p>
        </w:tc>
        <w:tc>
          <w:tcPr>
            <w:tcW w:w="7631" w:type="dxa"/>
            <w:shd w:val="clear" w:color="auto" w:fill="E7E6E6" w:themeFill="background2"/>
            <w:vAlign w:val="center"/>
          </w:tcPr>
          <w:p w:rsidR="00525C69" w:rsidRPr="00F84AD2" w:rsidRDefault="00525C69" w:rsidP="00525C6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4AD2">
              <w:rPr>
                <w:rFonts w:ascii="Arial" w:hAnsi="Arial" w:cs="Arial"/>
                <w:b/>
                <w:sz w:val="20"/>
                <w:szCs w:val="20"/>
              </w:rPr>
              <w:t>Propuesta</w:t>
            </w:r>
          </w:p>
        </w:tc>
      </w:tr>
      <w:tr w:rsidR="00525C69" w:rsidRPr="00F84AD2" w:rsidTr="00525C69">
        <w:tc>
          <w:tcPr>
            <w:tcW w:w="7631" w:type="dxa"/>
          </w:tcPr>
          <w:p w:rsidR="00525C69" w:rsidRPr="00F84AD2" w:rsidRDefault="00F95E78" w:rsidP="00525C6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4AD2">
              <w:rPr>
                <w:rFonts w:ascii="Arial" w:eastAsia="Calibri" w:hAnsi="Arial" w:cs="Arial"/>
                <w:b/>
                <w:i/>
                <w:sz w:val="20"/>
                <w:szCs w:val="20"/>
              </w:rPr>
              <w:t>Artículo XX. No se pagará el impuesto a la Tenencia Vehicular establecido en esta Ley, en los siguientes casos:</w:t>
            </w:r>
          </w:p>
        </w:tc>
        <w:tc>
          <w:tcPr>
            <w:tcW w:w="7631" w:type="dxa"/>
          </w:tcPr>
          <w:p w:rsidR="00525C69" w:rsidRPr="00F84AD2" w:rsidRDefault="00A1687A" w:rsidP="00525C6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4AD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Artículo 26. </w:t>
            </w:r>
            <w:r w:rsidRPr="00F84AD2">
              <w:rPr>
                <w:rFonts w:ascii="Arial" w:hAnsi="Arial" w:cs="Arial"/>
                <w:sz w:val="20"/>
                <w:szCs w:val="20"/>
              </w:rPr>
              <w:t>No se causará el impuesto a que se refiere este Capítulo, por la tenencia o uso de los siguientes vehículos:</w:t>
            </w:r>
          </w:p>
        </w:tc>
      </w:tr>
      <w:tr w:rsidR="00525C69" w:rsidRPr="00F84AD2" w:rsidTr="00525C69">
        <w:tc>
          <w:tcPr>
            <w:tcW w:w="7631" w:type="dxa"/>
          </w:tcPr>
          <w:p w:rsidR="00525C69" w:rsidRPr="00F84AD2" w:rsidRDefault="00F95E78" w:rsidP="00F95E7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4AD2">
              <w:rPr>
                <w:rFonts w:ascii="Arial" w:eastAsia="Calibri" w:hAnsi="Arial" w:cs="Arial"/>
                <w:b/>
                <w:i/>
                <w:sz w:val="20"/>
                <w:szCs w:val="20"/>
              </w:rPr>
              <w:t>“… -----…”</w:t>
            </w:r>
          </w:p>
        </w:tc>
        <w:tc>
          <w:tcPr>
            <w:tcW w:w="7631" w:type="dxa"/>
          </w:tcPr>
          <w:p w:rsidR="00A1687A" w:rsidRPr="00F84AD2" w:rsidRDefault="00A1687A" w:rsidP="00A1687A">
            <w:pPr>
              <w:pStyle w:val="Default"/>
              <w:rPr>
                <w:sz w:val="20"/>
                <w:szCs w:val="20"/>
              </w:rPr>
            </w:pPr>
          </w:p>
          <w:p w:rsidR="00A1687A" w:rsidRPr="00F84AD2" w:rsidRDefault="00A1687A" w:rsidP="003F2E61">
            <w:pPr>
              <w:pStyle w:val="Default"/>
              <w:numPr>
                <w:ilvl w:val="0"/>
                <w:numId w:val="4"/>
              </w:numPr>
              <w:jc w:val="both"/>
              <w:rPr>
                <w:sz w:val="20"/>
                <w:szCs w:val="20"/>
              </w:rPr>
            </w:pPr>
            <w:r w:rsidRPr="00F84AD2">
              <w:rPr>
                <w:b/>
                <w:bCs/>
                <w:sz w:val="20"/>
                <w:szCs w:val="20"/>
              </w:rPr>
              <w:t xml:space="preserve">Los eléctricos </w:t>
            </w:r>
            <w:r w:rsidR="00C03CDA" w:rsidRPr="00F84AD2">
              <w:rPr>
                <w:b/>
                <w:bCs/>
                <w:sz w:val="20"/>
                <w:szCs w:val="20"/>
              </w:rPr>
              <w:t>y aquellos eléctricos que además cuenten con motor de combustión interna o con motor accionado por hidrógeno</w:t>
            </w:r>
            <w:r w:rsidRPr="00F84AD2">
              <w:rPr>
                <w:b/>
                <w:bCs/>
                <w:sz w:val="20"/>
                <w:szCs w:val="20"/>
              </w:rPr>
              <w:t xml:space="preserve">; </w:t>
            </w:r>
          </w:p>
          <w:p w:rsidR="00525C69" w:rsidRPr="00F84AD2" w:rsidRDefault="00525C69" w:rsidP="00525C6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5C69" w:rsidRPr="00F84AD2" w:rsidTr="00525C69">
        <w:tc>
          <w:tcPr>
            <w:tcW w:w="7631" w:type="dxa"/>
          </w:tcPr>
          <w:p w:rsidR="00525C69" w:rsidRPr="00F84AD2" w:rsidRDefault="00F95E78" w:rsidP="00A1687A">
            <w:pPr>
              <w:numPr>
                <w:ilvl w:val="0"/>
                <w:numId w:val="4"/>
              </w:numPr>
              <w:ind w:right="33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4AD2">
              <w:rPr>
                <w:rFonts w:ascii="Arial" w:eastAsia="Calibri" w:hAnsi="Arial" w:cs="Arial"/>
                <w:b/>
                <w:i/>
                <w:sz w:val="20"/>
                <w:szCs w:val="20"/>
              </w:rPr>
              <w:t>“… a los vehículos cuyas especificaciones técnicas, de fábrica otorguen la calidad de vehículos con motores híbridos de baja emisiones de carbono y eléctricos de emisión cero...”</w:t>
            </w:r>
          </w:p>
        </w:tc>
        <w:tc>
          <w:tcPr>
            <w:tcW w:w="7631" w:type="dxa"/>
          </w:tcPr>
          <w:p w:rsidR="00525C69" w:rsidRPr="00F84AD2" w:rsidRDefault="00D6041D" w:rsidP="00525C6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4AD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Artículo 32. </w:t>
            </w:r>
            <w:r w:rsidRPr="00F84AD2">
              <w:rPr>
                <w:rFonts w:ascii="Arial" w:hAnsi="Arial" w:cs="Arial"/>
                <w:sz w:val="20"/>
                <w:szCs w:val="20"/>
              </w:rPr>
              <w:t xml:space="preserve">En esta sección se establecen las disposiciones aplicables a las aeronaves, embarcaciones, veleros, esquí acuático motorizado, motocicleta acuática, tabla de oleaje con motor, </w:t>
            </w:r>
            <w:r w:rsidRPr="00F84AD2">
              <w:rPr>
                <w:rFonts w:ascii="Arial" w:hAnsi="Arial" w:cs="Arial"/>
                <w:b/>
                <w:sz w:val="20"/>
                <w:szCs w:val="20"/>
              </w:rPr>
              <w:t xml:space="preserve">motocicletas, </w:t>
            </w:r>
            <w:r w:rsidRPr="00F84AD2">
              <w:rPr>
                <w:rFonts w:ascii="Arial" w:hAnsi="Arial" w:cs="Arial"/>
                <w:sz w:val="20"/>
                <w:szCs w:val="20"/>
              </w:rPr>
              <w:t xml:space="preserve">automóviles eléctricos </w:t>
            </w:r>
            <w:r w:rsidRPr="00F84AD2">
              <w:rPr>
                <w:rFonts w:ascii="Arial" w:hAnsi="Arial" w:cs="Arial"/>
                <w:b/>
                <w:bCs/>
                <w:sz w:val="20"/>
                <w:szCs w:val="20"/>
              </w:rPr>
              <w:t>y aquellos eléctricos que además cuenten con motor de combustión interna o con motor accionado por hidrógeno</w:t>
            </w:r>
            <w:r w:rsidRPr="00F84AD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6041D" w:rsidRPr="00F84AD2" w:rsidTr="00525C69">
        <w:tc>
          <w:tcPr>
            <w:tcW w:w="7631" w:type="dxa"/>
          </w:tcPr>
          <w:p w:rsidR="00D6041D" w:rsidRPr="00F84AD2" w:rsidRDefault="00D6041D" w:rsidP="00D6041D">
            <w:pPr>
              <w:ind w:right="335"/>
              <w:jc w:val="both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7631" w:type="dxa"/>
          </w:tcPr>
          <w:p w:rsidR="00D6041D" w:rsidRPr="00F84AD2" w:rsidRDefault="00853FA4" w:rsidP="00853FA4">
            <w:pPr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F84AD2">
              <w:rPr>
                <w:rFonts w:ascii="Arial" w:hAnsi="Arial" w:cs="Arial"/>
                <w:b/>
                <w:sz w:val="20"/>
                <w:szCs w:val="20"/>
              </w:rPr>
              <w:t>Artículo 36.</w:t>
            </w:r>
            <w:r w:rsidRPr="00F84AD2">
              <w:rPr>
                <w:rFonts w:ascii="Arial" w:hAnsi="Arial" w:cs="Arial"/>
                <w:sz w:val="20"/>
                <w:szCs w:val="20"/>
              </w:rPr>
              <w:t xml:space="preserve"> Tratándose de automóviles y motocicletas eléctric</w:t>
            </w:r>
            <w:r w:rsidRPr="00F84AD2">
              <w:rPr>
                <w:rFonts w:ascii="Arial" w:hAnsi="Arial" w:cs="Arial"/>
                <w:b/>
                <w:sz w:val="20"/>
                <w:szCs w:val="20"/>
              </w:rPr>
              <w:t>os, así</w:t>
            </w:r>
            <w:r w:rsidRPr="00F84AD2">
              <w:rPr>
                <w:rFonts w:ascii="Arial" w:hAnsi="Arial" w:cs="Arial"/>
                <w:sz w:val="20"/>
                <w:szCs w:val="20"/>
              </w:rPr>
              <w:t xml:space="preserve"> como de aquellos eléctric</w:t>
            </w:r>
            <w:r w:rsidRPr="00F84AD2">
              <w:rPr>
                <w:rFonts w:ascii="Arial" w:hAnsi="Arial" w:cs="Arial"/>
                <w:b/>
                <w:sz w:val="20"/>
                <w:szCs w:val="20"/>
              </w:rPr>
              <w:t>os qu</w:t>
            </w:r>
            <w:r w:rsidRPr="00F84AD2">
              <w:rPr>
                <w:rFonts w:ascii="Arial" w:hAnsi="Arial" w:cs="Arial"/>
                <w:sz w:val="20"/>
                <w:szCs w:val="20"/>
              </w:rPr>
              <w:t xml:space="preserve">e además cuenten con motor de combustión interna o con motor accionado por hidrógeno, no se causará el impuesto previsto en este capítulo. </w:t>
            </w:r>
            <w:r w:rsidRPr="00F84AD2">
              <w:rPr>
                <w:rFonts w:ascii="Arial" w:hAnsi="Arial" w:cs="Arial"/>
                <w:b/>
                <w:color w:val="FF0000"/>
                <w:sz w:val="20"/>
                <w:szCs w:val="20"/>
              </w:rPr>
              <w:t>(Nota: se elimina la expresión “nuevos”, para comprender tanto nuevos como usados)</w:t>
            </w:r>
          </w:p>
        </w:tc>
      </w:tr>
    </w:tbl>
    <w:p w:rsidR="00525C69" w:rsidRPr="00F84AD2" w:rsidRDefault="00525C69" w:rsidP="00525C6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637EF" w:rsidRPr="00F84AD2" w:rsidRDefault="00F637EF" w:rsidP="00525C6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25C69" w:rsidRPr="00F84AD2" w:rsidRDefault="00525C69" w:rsidP="00525C6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25C69" w:rsidRPr="00F84AD2" w:rsidRDefault="00525C69">
      <w:pPr>
        <w:rPr>
          <w:rFonts w:ascii="Arial" w:hAnsi="Arial" w:cs="Arial"/>
          <w:sz w:val="20"/>
          <w:szCs w:val="20"/>
        </w:rPr>
      </w:pPr>
      <w:r w:rsidRPr="00F84AD2">
        <w:rPr>
          <w:rFonts w:ascii="Arial" w:hAnsi="Arial" w:cs="Arial"/>
          <w:sz w:val="20"/>
          <w:szCs w:val="20"/>
        </w:rPr>
        <w:br w:type="page"/>
      </w:r>
    </w:p>
    <w:p w:rsidR="00525C69" w:rsidRPr="00F84AD2" w:rsidRDefault="005762C8" w:rsidP="00525C69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lastRenderedPageBreak/>
        <w:t>Recursos para Programa de Protección Ambiental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31"/>
        <w:gridCol w:w="7631"/>
      </w:tblGrid>
      <w:tr w:rsidR="00525C69" w:rsidRPr="00F84AD2" w:rsidTr="001F3167">
        <w:tc>
          <w:tcPr>
            <w:tcW w:w="7631" w:type="dxa"/>
            <w:shd w:val="clear" w:color="auto" w:fill="E7E6E6" w:themeFill="background2"/>
          </w:tcPr>
          <w:p w:rsidR="00525C69" w:rsidRPr="00F84AD2" w:rsidRDefault="00525C69" w:rsidP="001F316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4AD2">
              <w:rPr>
                <w:rFonts w:ascii="Arial" w:hAnsi="Arial" w:cs="Arial"/>
                <w:b/>
                <w:sz w:val="20"/>
                <w:szCs w:val="20"/>
              </w:rPr>
              <w:t xml:space="preserve">Texto </w:t>
            </w:r>
          </w:p>
          <w:p w:rsidR="00525C69" w:rsidRPr="00F84AD2" w:rsidRDefault="00525C69" w:rsidP="00525C6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4AD2">
              <w:rPr>
                <w:rFonts w:ascii="Arial" w:hAnsi="Arial" w:cs="Arial"/>
                <w:b/>
                <w:sz w:val="20"/>
                <w:szCs w:val="20"/>
              </w:rPr>
              <w:t>Dip. Jorge Herrera</w:t>
            </w:r>
          </w:p>
        </w:tc>
        <w:tc>
          <w:tcPr>
            <w:tcW w:w="7631" w:type="dxa"/>
            <w:shd w:val="clear" w:color="auto" w:fill="E7E6E6" w:themeFill="background2"/>
            <w:vAlign w:val="center"/>
          </w:tcPr>
          <w:p w:rsidR="00525C69" w:rsidRPr="00F84AD2" w:rsidRDefault="00525C69" w:rsidP="001F316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4AD2">
              <w:rPr>
                <w:rFonts w:ascii="Arial" w:hAnsi="Arial" w:cs="Arial"/>
                <w:b/>
                <w:sz w:val="20"/>
                <w:szCs w:val="20"/>
              </w:rPr>
              <w:t>Propuesta</w:t>
            </w:r>
          </w:p>
        </w:tc>
      </w:tr>
      <w:tr w:rsidR="00525C69" w:rsidRPr="00F84AD2" w:rsidTr="001F3167">
        <w:tc>
          <w:tcPr>
            <w:tcW w:w="7631" w:type="dxa"/>
          </w:tcPr>
          <w:p w:rsidR="00525C69" w:rsidRPr="00F84AD2" w:rsidRDefault="00525C69" w:rsidP="001F31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1" w:type="dxa"/>
          </w:tcPr>
          <w:p w:rsidR="00525C69" w:rsidRPr="00F84AD2" w:rsidRDefault="00D8775E" w:rsidP="001F316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84AD2">
              <w:rPr>
                <w:rFonts w:ascii="Arial" w:hAnsi="Arial" w:cs="Arial"/>
                <w:b/>
                <w:sz w:val="20"/>
                <w:szCs w:val="20"/>
              </w:rPr>
              <w:t>Incluir dentro de las disposiciones de vigencia anual</w:t>
            </w:r>
            <w:r w:rsidR="00E96F20" w:rsidRPr="00F84AD2">
              <w:rPr>
                <w:rFonts w:ascii="Arial" w:hAnsi="Arial" w:cs="Arial"/>
                <w:b/>
                <w:sz w:val="20"/>
                <w:szCs w:val="20"/>
              </w:rPr>
              <w:t xml:space="preserve"> de la Ley de H</w:t>
            </w:r>
            <w:r w:rsidR="00537068" w:rsidRPr="00F84AD2">
              <w:rPr>
                <w:rFonts w:ascii="Arial" w:hAnsi="Arial" w:cs="Arial"/>
                <w:b/>
                <w:sz w:val="20"/>
                <w:szCs w:val="20"/>
              </w:rPr>
              <w:t>acienda del Estado de Querétaro para el ejercicio fiscal 2020,</w:t>
            </w:r>
            <w:r w:rsidR="00E96F20" w:rsidRPr="00F84AD2">
              <w:rPr>
                <w:rFonts w:ascii="Arial" w:hAnsi="Arial" w:cs="Arial"/>
                <w:b/>
                <w:sz w:val="20"/>
                <w:szCs w:val="20"/>
              </w:rPr>
              <w:t xml:space="preserve"> una fracción</w:t>
            </w:r>
            <w:r w:rsidR="00B46BE2" w:rsidRPr="00F84AD2">
              <w:rPr>
                <w:rFonts w:ascii="Arial" w:hAnsi="Arial" w:cs="Arial"/>
                <w:b/>
                <w:sz w:val="20"/>
                <w:szCs w:val="20"/>
              </w:rPr>
              <w:t xml:space="preserve"> (la que corresponda en número), con el texto siguiente:</w:t>
            </w:r>
          </w:p>
          <w:p w:rsidR="00B46BE2" w:rsidRPr="00F84AD2" w:rsidRDefault="00B46BE2" w:rsidP="001F316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37286" w:rsidRPr="00F84AD2" w:rsidTr="001F3167">
        <w:tc>
          <w:tcPr>
            <w:tcW w:w="7631" w:type="dxa"/>
          </w:tcPr>
          <w:p w:rsidR="00F37286" w:rsidRPr="00F84AD2" w:rsidRDefault="00F37286" w:rsidP="00F372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4AD2">
              <w:rPr>
                <w:rFonts w:ascii="Arial" w:hAnsi="Arial" w:cs="Arial"/>
                <w:sz w:val="20"/>
                <w:szCs w:val="20"/>
              </w:rPr>
              <w:t>XV.- Los recursos totales derivados de aprovechamientos relativos al concepto de multas y sanciones provenientes del Reglamento de Verificación Vehicular, por no cumplir con el programa de verificación vehicular serán destinados al Programa para el desarrollo sustentable y cuidado del medio ambiente del Estado de Querétaro</w:t>
            </w:r>
          </w:p>
        </w:tc>
        <w:tc>
          <w:tcPr>
            <w:tcW w:w="7631" w:type="dxa"/>
          </w:tcPr>
          <w:p w:rsidR="00F37286" w:rsidRPr="00F84AD2" w:rsidRDefault="00F37286" w:rsidP="0060010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4AD2">
              <w:rPr>
                <w:rFonts w:ascii="Arial" w:hAnsi="Arial" w:cs="Arial"/>
                <w:b/>
                <w:sz w:val="20"/>
                <w:szCs w:val="20"/>
              </w:rPr>
              <w:t xml:space="preserve">xxx. </w:t>
            </w:r>
            <w:r w:rsidRPr="00F84AD2">
              <w:rPr>
                <w:rFonts w:ascii="Arial" w:hAnsi="Arial" w:cs="Arial"/>
                <w:sz w:val="20"/>
                <w:szCs w:val="20"/>
              </w:rPr>
              <w:t>Los recursos derivados de aprovechamientos relativos al concepto de multas y sanciones</w:t>
            </w:r>
            <w:r w:rsidRPr="00F84AD2">
              <w:rPr>
                <w:rFonts w:ascii="Arial" w:hAnsi="Arial" w:cs="Arial"/>
                <w:b/>
                <w:sz w:val="20"/>
                <w:szCs w:val="20"/>
              </w:rPr>
              <w:t>, por incumplimiento a las disposiciones en materia de verificación vehicular</w:t>
            </w:r>
            <w:r w:rsidR="001C1DB1" w:rsidRPr="00F84AD2">
              <w:rPr>
                <w:rFonts w:ascii="Arial" w:hAnsi="Arial" w:cs="Arial"/>
                <w:b/>
                <w:sz w:val="20"/>
                <w:szCs w:val="20"/>
              </w:rPr>
              <w:t>,</w:t>
            </w:r>
            <w:r w:rsidRPr="00F84AD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84AD2">
              <w:rPr>
                <w:rFonts w:ascii="Arial" w:hAnsi="Arial" w:cs="Arial"/>
                <w:b/>
                <w:sz w:val="20"/>
                <w:szCs w:val="20"/>
              </w:rPr>
              <w:t>se</w:t>
            </w:r>
            <w:r w:rsidR="001C1DB1" w:rsidRPr="00F84AD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84AD2">
              <w:rPr>
                <w:rFonts w:ascii="Arial" w:hAnsi="Arial" w:cs="Arial"/>
                <w:b/>
                <w:sz w:val="20"/>
                <w:szCs w:val="20"/>
              </w:rPr>
              <w:t>destina</w:t>
            </w:r>
            <w:r w:rsidR="001C1DB1" w:rsidRPr="00F84AD2">
              <w:rPr>
                <w:rFonts w:ascii="Arial" w:hAnsi="Arial" w:cs="Arial"/>
                <w:b/>
                <w:sz w:val="20"/>
                <w:szCs w:val="20"/>
              </w:rPr>
              <w:t>rán</w:t>
            </w:r>
            <w:r w:rsidRPr="00F84AD2">
              <w:rPr>
                <w:rFonts w:ascii="Arial" w:hAnsi="Arial" w:cs="Arial"/>
                <w:sz w:val="20"/>
                <w:szCs w:val="20"/>
              </w:rPr>
              <w:t xml:space="preserve"> al </w:t>
            </w:r>
            <w:r w:rsidR="00E62F61" w:rsidRPr="00F84AD2">
              <w:rPr>
                <w:rFonts w:ascii="Arial" w:hAnsi="Arial" w:cs="Arial"/>
                <w:b/>
                <w:sz w:val="20"/>
                <w:szCs w:val="20"/>
              </w:rPr>
              <w:t xml:space="preserve">Fondo </w:t>
            </w:r>
            <w:r w:rsidR="003024B3" w:rsidRPr="00F84AD2">
              <w:rPr>
                <w:rFonts w:ascii="Arial" w:hAnsi="Arial" w:cs="Arial"/>
                <w:b/>
                <w:sz w:val="20"/>
                <w:szCs w:val="20"/>
              </w:rPr>
              <w:t>para la Protección Ambiental y el Desarrollo Sustentable en Querétaro, a que se refiere la Ley de Protección Ambiental para el Desarrollo Sustentable del  Estado de Querétaro y los p</w:t>
            </w:r>
            <w:r w:rsidRPr="00F84AD2">
              <w:rPr>
                <w:rFonts w:ascii="Arial" w:hAnsi="Arial" w:cs="Arial"/>
                <w:b/>
                <w:sz w:val="20"/>
                <w:szCs w:val="20"/>
              </w:rPr>
              <w:t>rograma</w:t>
            </w:r>
            <w:r w:rsidR="003024B3" w:rsidRPr="00F84AD2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600108" w:rsidRPr="00F84AD2">
              <w:rPr>
                <w:rFonts w:ascii="Arial" w:hAnsi="Arial" w:cs="Arial"/>
                <w:b/>
                <w:sz w:val="20"/>
                <w:szCs w:val="20"/>
              </w:rPr>
              <w:t xml:space="preserve"> que se financien con dicho Fondo</w:t>
            </w:r>
            <w:r w:rsidR="00600108" w:rsidRPr="00F84AD2"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</w:tbl>
    <w:p w:rsidR="00525C69" w:rsidRPr="00F84AD2" w:rsidRDefault="00525C69" w:rsidP="00525C6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525C69" w:rsidRPr="00F84AD2" w:rsidSect="00525C69">
      <w:pgSz w:w="15840" w:h="12240" w:orient="landscape" w:code="1"/>
      <w:pgMar w:top="284" w:right="284" w:bottom="284" w:left="284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9FDB436"/>
    <w:multiLevelType w:val="hybridMultilevel"/>
    <w:tmpl w:val="627C2337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88D7313"/>
    <w:multiLevelType w:val="hybridMultilevel"/>
    <w:tmpl w:val="1D882B96"/>
    <w:lvl w:ilvl="0" w:tplc="666E0F1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1398D"/>
    <w:multiLevelType w:val="hybridMultilevel"/>
    <w:tmpl w:val="4D3A03D4"/>
    <w:lvl w:ilvl="0" w:tplc="3626B4AC">
      <w:start w:val="1"/>
      <w:numFmt w:val="upperRoman"/>
      <w:lvlText w:val="%1."/>
      <w:lvlJc w:val="left"/>
      <w:pPr>
        <w:ind w:left="562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74B6AC">
      <w:start w:val="1"/>
      <w:numFmt w:val="lowerLetter"/>
      <w:lvlText w:val="%2"/>
      <w:lvlJc w:val="left"/>
      <w:pPr>
        <w:ind w:left="4911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004308">
      <w:start w:val="1"/>
      <w:numFmt w:val="lowerRoman"/>
      <w:lvlText w:val="%3"/>
      <w:lvlJc w:val="left"/>
      <w:pPr>
        <w:ind w:left="5631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1E60DA">
      <w:start w:val="1"/>
      <w:numFmt w:val="decimal"/>
      <w:lvlText w:val="%4"/>
      <w:lvlJc w:val="left"/>
      <w:pPr>
        <w:ind w:left="6351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64AC2A">
      <w:start w:val="1"/>
      <w:numFmt w:val="lowerLetter"/>
      <w:lvlText w:val="%5"/>
      <w:lvlJc w:val="left"/>
      <w:pPr>
        <w:ind w:left="7071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68A58E">
      <w:start w:val="1"/>
      <w:numFmt w:val="lowerRoman"/>
      <w:lvlText w:val="%6"/>
      <w:lvlJc w:val="left"/>
      <w:pPr>
        <w:ind w:left="7791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7EC91C">
      <w:start w:val="1"/>
      <w:numFmt w:val="decimal"/>
      <w:lvlText w:val="%7"/>
      <w:lvlJc w:val="left"/>
      <w:pPr>
        <w:ind w:left="8511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5AEFC0">
      <w:start w:val="1"/>
      <w:numFmt w:val="lowerLetter"/>
      <w:lvlText w:val="%8"/>
      <w:lvlJc w:val="left"/>
      <w:pPr>
        <w:ind w:left="9231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4C56FC">
      <w:start w:val="1"/>
      <w:numFmt w:val="lowerRoman"/>
      <w:lvlText w:val="%9"/>
      <w:lvlJc w:val="left"/>
      <w:pPr>
        <w:ind w:left="9951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A029E3"/>
    <w:multiLevelType w:val="hybridMultilevel"/>
    <w:tmpl w:val="F0440FA6"/>
    <w:lvl w:ilvl="0" w:tplc="078008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C69"/>
    <w:rsid w:val="0004146E"/>
    <w:rsid w:val="000F30EE"/>
    <w:rsid w:val="001751A3"/>
    <w:rsid w:val="001C1DB1"/>
    <w:rsid w:val="003024B3"/>
    <w:rsid w:val="003F2E61"/>
    <w:rsid w:val="00525C69"/>
    <w:rsid w:val="00537068"/>
    <w:rsid w:val="005762C8"/>
    <w:rsid w:val="005E149F"/>
    <w:rsid w:val="00600108"/>
    <w:rsid w:val="00801F32"/>
    <w:rsid w:val="00853FA4"/>
    <w:rsid w:val="0098533E"/>
    <w:rsid w:val="00A1687A"/>
    <w:rsid w:val="00B46BE2"/>
    <w:rsid w:val="00C03CDA"/>
    <w:rsid w:val="00D6041D"/>
    <w:rsid w:val="00D8775E"/>
    <w:rsid w:val="00E62F61"/>
    <w:rsid w:val="00E65BA8"/>
    <w:rsid w:val="00E96F20"/>
    <w:rsid w:val="00EE7734"/>
    <w:rsid w:val="00F37286"/>
    <w:rsid w:val="00F637EF"/>
    <w:rsid w:val="00F84AD2"/>
    <w:rsid w:val="00F9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B813"/>
  <w15:chartTrackingRefBased/>
  <w15:docId w15:val="{C373D5B9-0744-40A4-85F3-B432FDEB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25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95E78"/>
    <w:pPr>
      <w:ind w:left="720"/>
      <w:contextualSpacing/>
    </w:pPr>
  </w:style>
  <w:style w:type="paragraph" w:customStyle="1" w:styleId="Default">
    <w:name w:val="Default"/>
    <w:rsid w:val="00A1687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366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GEQ</dc:creator>
  <cp:keywords/>
  <dc:description/>
  <cp:lastModifiedBy>GEQ</cp:lastModifiedBy>
  <cp:revision>25</cp:revision>
  <dcterms:created xsi:type="dcterms:W3CDTF">2019-11-20T01:18:00Z</dcterms:created>
  <dcterms:modified xsi:type="dcterms:W3CDTF">2019-11-20T01:42:00Z</dcterms:modified>
</cp:coreProperties>
</file>