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64C4CB" w14:textId="77777777" w:rsidR="00D0529E" w:rsidRDefault="00000000">
      <w:r>
        <w:rPr>
          <w:rFonts w:ascii="Arial" w:hAnsi="Arial" w:cs="Arial"/>
          <w:b/>
          <w:sz w:val="28"/>
          <w:szCs w:val="28"/>
        </w:rPr>
        <w:t>From Stadium to Studium. The Athletic Metaphor in Ancient and Medieval Thought</w:t>
      </w:r>
    </w:p>
    <w:p w14:paraId="36DE9DB4" w14:textId="77777777" w:rsidR="00D0529E" w:rsidRDefault="00D0529E">
      <w:pPr>
        <w:jc w:val="both"/>
      </w:pPr>
    </w:p>
    <w:p w14:paraId="1554C2D5" w14:textId="77777777" w:rsidR="00D0529E" w:rsidRDefault="00000000">
      <w:r>
        <w:rPr>
          <w:rFonts w:ascii="Arial" w:hAnsi="Arial" w:cs="Arial"/>
          <w:i/>
        </w:rPr>
        <w:t>by Armando Bisogno</w:t>
      </w:r>
    </w:p>
    <w:p w14:paraId="6FC320F2" w14:textId="77777777" w:rsidR="00D0529E" w:rsidRDefault="00D0529E">
      <w:pPr>
        <w:jc w:val="both"/>
      </w:pPr>
    </w:p>
    <w:p w14:paraId="2BD3CD44" w14:textId="77777777" w:rsidR="00D0529E" w:rsidRDefault="00D0529E">
      <w:pPr>
        <w:jc w:val="both"/>
      </w:pPr>
    </w:p>
    <w:p w14:paraId="77766C03" w14:textId="77777777" w:rsidR="00D0529E" w:rsidRDefault="00D0529E">
      <w:pPr>
        <w:jc w:val="both"/>
      </w:pPr>
    </w:p>
    <w:p w14:paraId="151AA5C7" w14:textId="77777777" w:rsidR="00D0529E" w:rsidRDefault="00D0529E">
      <w:pPr>
        <w:jc w:val="both"/>
      </w:pPr>
    </w:p>
    <w:p w14:paraId="3A569258" w14:textId="77777777" w:rsidR="00D0529E" w:rsidRDefault="00D0529E">
      <w:pPr>
        <w:jc w:val="both"/>
      </w:pPr>
    </w:p>
    <w:p w14:paraId="263905A6" w14:textId="77777777" w:rsidR="00D0529E" w:rsidRDefault="00000000">
      <w:pPr>
        <w:keepNext/>
        <w:spacing w:after="276"/>
      </w:pPr>
      <w:r>
        <w:rPr>
          <w:rFonts w:ascii="Arial" w:hAnsi="Arial" w:cs="Arial"/>
          <w:b/>
        </w:rPr>
        <w:t>1. Measuring and meaning</w:t>
      </w:r>
    </w:p>
    <w:p w14:paraId="749A7650" w14:textId="77777777" w:rsidR="00D0529E" w:rsidRDefault="00000000">
      <w:pPr>
        <w:ind w:firstLine="283"/>
        <w:jc w:val="both"/>
      </w:pPr>
      <w:r>
        <w:t>We can measure an athletic performance today with a precision that would have astonished any ancient spectator: the height of a jump to the centimetre, the length of a race to the hundredth of a second, the heart rate and oxygen consumption of a body under strain. Yet the number, however exact, tells us very little about what the athletic act means. It records a result; it does not interpret it.</w:t>
      </w:r>
    </w:p>
    <w:p w14:paraId="64B9C010" w14:textId="77777777" w:rsidR="00D0529E" w:rsidRDefault="00000000">
      <w:pPr>
        <w:ind w:firstLine="283"/>
        <w:jc w:val="both"/>
      </w:pPr>
      <w:r>
        <w:t xml:space="preserve">For more than a thousand </w:t>
      </w:r>
      <w:proofErr w:type="gramStart"/>
      <w:r>
        <w:t>years</w:t>
      </w:r>
      <w:proofErr w:type="gramEnd"/>
      <w:r>
        <w:t xml:space="preserve"> philosophers, and later monks, used the figure of the athlete precisely to speak of something that could not be measured: the formation of the self. The trained body became the model of a trained soul, and the discipline of the gymnasium the pattern of a discipline concerning </w:t>
      </w:r>
      <w:proofErr w:type="gramStart"/>
      <w:r>
        <w:t>life as a whole</w:t>
      </w:r>
      <w:proofErr w:type="gramEnd"/>
      <w:r>
        <w:t xml:space="preserve">. The Greek vocabulary itself preserves the trace of this passage. Before it came to designate the renunciations of the ascetic, </w:t>
      </w:r>
      <w:r>
        <w:rPr>
          <w:i/>
        </w:rPr>
        <w:t>askēsis</w:t>
      </w:r>
      <w:r>
        <w:t xml:space="preserve"> meant the exercise of the athlete, and the word carried that origin with it for a very long time</w:t>
      </w:r>
      <w:r>
        <w:rPr>
          <w:sz w:val="16"/>
          <w:vertAlign w:val="superscript"/>
        </w:rPr>
        <w:footnoteReference w:id="1"/>
      </w:r>
      <w:r>
        <w:t>.</w:t>
      </w:r>
    </w:p>
    <w:p w14:paraId="450A2052" w14:textId="77777777" w:rsidR="00D0529E" w:rsidRDefault="00000000">
      <w:pPr>
        <w:ind w:firstLine="283"/>
        <w:jc w:val="both"/>
      </w:pPr>
      <w:r>
        <w:t>The following pages trace the metaphor through five stages, from Plato to a monk who became pope, Gregory the Great. The aim is not to compile a catalogue of occurrences – the literature on the subject is vast, and in the Pauline field in particular it has been studied with admirable thoroughness</w:t>
      </w:r>
      <w:r>
        <w:rPr>
          <w:sz w:val="16"/>
          <w:vertAlign w:val="superscript"/>
        </w:rPr>
        <w:footnoteReference w:id="2"/>
      </w:r>
      <w:r>
        <w:t xml:space="preserve"> – but to understand how a single image could travel so far, across such different worlds, without losing its force. The </w:t>
      </w:r>
      <w:r>
        <w:lastRenderedPageBreak/>
        <w:t>hypothesis is simple, and I state it at the outset because it has guided the choice of texts: the athletic metaphor survives because it answers a question that none of these authors could avoid, namely how a fragile being, who does not possess virtue by nature, can nonetheless become something other than what it is. The athlete is the figure of that possibility.</w:t>
      </w:r>
    </w:p>
    <w:p w14:paraId="3086C2F4" w14:textId="77777777" w:rsidR="00D0529E" w:rsidRDefault="00000000">
      <w:pPr>
        <w:keepNext/>
        <w:spacing w:before="552" w:after="276"/>
      </w:pPr>
      <w:r>
        <w:rPr>
          <w:rFonts w:ascii="Arial" w:hAnsi="Arial" w:cs="Arial"/>
          <w:b/>
        </w:rPr>
        <w:t>2. Plato: the gymnastics of the city</w:t>
      </w:r>
    </w:p>
    <w:p w14:paraId="3CF1EA53" w14:textId="77777777" w:rsidR="00D0529E" w:rsidRDefault="00000000">
      <w:pPr>
        <w:ind w:firstLine="283"/>
        <w:jc w:val="both"/>
      </w:pPr>
      <w:r>
        <w:t xml:space="preserve">The first stage is found in the </w:t>
      </w:r>
      <w:r>
        <w:rPr>
          <w:i/>
        </w:rPr>
        <w:t>Gorgias</w:t>
      </w:r>
      <w:r>
        <w:t>. Socrates, intent on unmasking the pretensions of rhetoric, sets up a deliberately rigorous parallel between body and soul. Since there are two realities, there are also two arts that take care of them: for the body, an art without a name of its own, divided into gymnastics and medicine; for the soul, politics, divided into legislation and justice. Legislation answers to gymnastics, justice to medicine</w:t>
      </w:r>
      <w:r>
        <w:rPr>
          <w:sz w:val="16"/>
          <w:vertAlign w:val="superscript"/>
        </w:rPr>
        <w:footnoteReference w:id="3"/>
      </w:r>
      <w:r>
        <w:t>. The first art of each pair forms and preserves health; the second restores it when it has been lost, when there is a fault to be corrected.</w:t>
      </w:r>
    </w:p>
    <w:p w14:paraId="27B74A45" w14:textId="77777777" w:rsidR="00D0529E" w:rsidRDefault="00000000">
      <w:pPr>
        <w:ind w:firstLine="283"/>
        <w:jc w:val="both"/>
      </w:pPr>
      <w:r>
        <w:t>The symmetry is completed by its counterfeit. For each true art there is a form of flattery that imitates it and aims at pleasure rather than at the good: cosmetics mimics gymnastics, cookery mimics medicine, sophistry mimics legislation, rhetoric mimics justice. The proportion is stated with the dryness of a geometrical theorem: «as cosmetics is to gymnastics, so sophistry is to legislation; and as cookery is to medicine, so rhetoric is to justice»</w:t>
      </w:r>
      <w:r>
        <w:rPr>
          <w:sz w:val="16"/>
          <w:vertAlign w:val="superscript"/>
        </w:rPr>
        <w:footnoteReference w:id="4"/>
      </w:r>
      <w:r>
        <w:t>.</w:t>
      </w:r>
    </w:p>
    <w:p w14:paraId="3DA903EC" w14:textId="77777777" w:rsidR="00D0529E" w:rsidRDefault="00000000">
      <w:pPr>
        <w:ind w:firstLine="283"/>
        <w:jc w:val="both"/>
      </w:pPr>
      <w:r>
        <w:t xml:space="preserve">Two features of this page deserve attention. The first is that gymnastics is not an ornament of the argument: it is the model on which the art of governing is conceived, point by point. The legislator does for the city what the trainer does for the body: he does not produce health once and for </w:t>
      </w:r>
      <w:proofErr w:type="gramStart"/>
      <w:r>
        <w:t>all, but</w:t>
      </w:r>
      <w:proofErr w:type="gramEnd"/>
      <w:r>
        <w:t xml:space="preserve"> establishes the conditions under which it can be maintained. The second is that, from the very beginning, the athletic model carries within itself the problem of appearance. Cos</w:t>
      </w:r>
      <w:r>
        <w:lastRenderedPageBreak/>
        <w:t>metics gives the body the look of health without its substance; sophistry gives the city the look of order. The difference between the trained body and the painted body is the difference between a virtue that has been exercised and one that has merely been displayed.</w:t>
      </w:r>
    </w:p>
    <w:p w14:paraId="180839D2" w14:textId="77777777" w:rsidR="00D0529E" w:rsidRDefault="00000000">
      <w:pPr>
        <w:ind w:firstLine="283"/>
        <w:jc w:val="both"/>
      </w:pPr>
      <w:r>
        <w:t xml:space="preserve">In the </w:t>
      </w:r>
      <w:r>
        <w:rPr>
          <w:i/>
        </w:rPr>
        <w:t>Republic</w:t>
      </w:r>
      <w:r>
        <w:t xml:space="preserve"> Plato goes further still, observing that those who established education in music and gymnastics did not do so, as many believe, in order to care for the soul with the one and for the body with the other, but chiefly for the sake of the soul in both cases</w:t>
      </w:r>
      <w:r>
        <w:rPr>
          <w:sz w:val="16"/>
          <w:vertAlign w:val="superscript"/>
        </w:rPr>
        <w:footnoteReference w:id="5"/>
      </w:r>
      <w:r>
        <w:t>. Physical training was already understood as a formation of character. In this sense the athletic metaphor enters Western thought together with a political idea: the conviction that human beings, left to themselves, are not ready for common life, and that someone must take charge of their training. It is one of the earliest drafts of that triangle between knowledge, norm and community which the philosophical tradition has never ceased to redraw.</w:t>
      </w:r>
    </w:p>
    <w:p w14:paraId="0E9EF2E7" w14:textId="77777777" w:rsidR="00D0529E" w:rsidRDefault="00000000">
      <w:pPr>
        <w:keepNext/>
        <w:spacing w:before="552" w:after="276"/>
      </w:pPr>
      <w:r>
        <w:rPr>
          <w:rFonts w:ascii="Arial" w:hAnsi="Arial" w:cs="Arial"/>
          <w:b/>
        </w:rPr>
        <w:t>3. Aristotle: virtue is trained, not given</w:t>
      </w:r>
    </w:p>
    <w:p w14:paraId="02D93195" w14:textId="77777777" w:rsidR="00D0529E" w:rsidRDefault="00000000">
      <w:pPr>
        <w:ind w:firstLine="283"/>
        <w:jc w:val="both"/>
      </w:pPr>
      <w:r>
        <w:t xml:space="preserve">With Aristotle the image changes status. It is no longer only a comparison but a piece of evidence, an observable fact from which a theory of moral formation can be derived. In the second book of the </w:t>
      </w:r>
      <w:r>
        <w:rPr>
          <w:i/>
        </w:rPr>
        <w:t xml:space="preserve">Nicomachean </w:t>
      </w:r>
      <w:proofErr w:type="gramStart"/>
      <w:r>
        <w:rPr>
          <w:i/>
        </w:rPr>
        <w:t>Ethics</w:t>
      </w:r>
      <w:proofErr w:type="gramEnd"/>
      <w:r>
        <w:t xml:space="preserve"> we read:</w:t>
      </w:r>
    </w:p>
    <w:p w14:paraId="614FD44E" w14:textId="77777777" w:rsidR="00D0529E" w:rsidRDefault="00000000">
      <w:pPr>
        <w:spacing w:before="240" w:after="240" w:line="240" w:lineRule="exact"/>
        <w:ind w:firstLine="283"/>
        <w:jc w:val="both"/>
      </w:pPr>
      <w:r>
        <w:rPr>
          <w:sz w:val="20"/>
          <w:szCs w:val="20"/>
        </w:rPr>
        <w:t xml:space="preserve">Both excessive and defective exercise destroys the </w:t>
      </w:r>
      <w:proofErr w:type="gramStart"/>
      <w:r>
        <w:rPr>
          <w:sz w:val="20"/>
          <w:szCs w:val="20"/>
        </w:rPr>
        <w:t>strength, and</w:t>
      </w:r>
      <w:proofErr w:type="gramEnd"/>
      <w:r>
        <w:rPr>
          <w:sz w:val="20"/>
          <w:szCs w:val="20"/>
        </w:rPr>
        <w:t xml:space="preserve"> similarly drink or food which is above or below a certain amount destroys the health, while that which is proportionate both produces and increases and preserves it. So too is it, then, in the case of temperance and courage and the other virtues</w:t>
      </w:r>
      <w:r>
        <w:rPr>
          <w:sz w:val="16"/>
          <w:vertAlign w:val="superscript"/>
        </w:rPr>
        <w:footnoteReference w:id="6"/>
      </w:r>
      <w:r>
        <w:rPr>
          <w:sz w:val="20"/>
          <w:szCs w:val="20"/>
        </w:rPr>
        <w:t>.</w:t>
      </w:r>
    </w:p>
    <w:p w14:paraId="4E909080" w14:textId="77777777" w:rsidR="00D0529E" w:rsidRDefault="00000000">
      <w:pPr>
        <w:ind w:firstLine="283"/>
        <w:jc w:val="both"/>
      </w:pPr>
      <w:r>
        <w:t xml:space="preserve">Too much training ruins the body, too little leaves it weak; only the right measure, sustained over time, produces real strength. The same holds for courage and temperance: they are generated neither by a single heroic act nor by the absence of trials, but by a repeated practice that avoids both excess and defect. Shortly before, Aristotle had formulated the principle in its most general form: we become builders by </w:t>
      </w:r>
      <w:r>
        <w:lastRenderedPageBreak/>
        <w:t>building and lyre-players by playing the lyre, and in the same way we become just by doing just acts, temperate by doing temperate acts, brave by doing brave acts</w:t>
      </w:r>
      <w:r>
        <w:rPr>
          <w:sz w:val="16"/>
          <w:vertAlign w:val="superscript"/>
        </w:rPr>
        <w:footnoteReference w:id="7"/>
      </w:r>
      <w:r>
        <w:t>.</w:t>
      </w:r>
    </w:p>
    <w:p w14:paraId="1B045904" w14:textId="77777777" w:rsidR="00D0529E" w:rsidRDefault="00000000">
      <w:pPr>
        <w:ind w:firstLine="283"/>
        <w:jc w:val="both"/>
      </w:pPr>
      <w:r>
        <w:t xml:space="preserve">The athletic example allows him to state something that would otherwise remain abstract: the circularity of virtue. Strength is produced by taking much nourishment and enduring much exertion, and it is the strong man who is best able to do precisely these things; </w:t>
      </w:r>
      <w:proofErr w:type="gramStart"/>
      <w:r>
        <w:t>so</w:t>
      </w:r>
      <w:proofErr w:type="gramEnd"/>
      <w:r>
        <w:t xml:space="preserve"> it is with virtue, since by abstaining from pleasures we become temperate, and once we have become </w:t>
      </w:r>
      <w:proofErr w:type="gramStart"/>
      <w:r>
        <w:t>temperate</w:t>
      </w:r>
      <w:proofErr w:type="gramEnd"/>
      <w:r>
        <w:t xml:space="preserve"> we are best able to abstain from them</w:t>
      </w:r>
      <w:r>
        <w:rPr>
          <w:sz w:val="16"/>
          <w:vertAlign w:val="superscript"/>
        </w:rPr>
        <w:footnoteReference w:id="8"/>
      </w:r>
      <w:r>
        <w:t>. The disposition (</w:t>
      </w:r>
      <w:r>
        <w:rPr>
          <w:i/>
        </w:rPr>
        <w:t>hexis</w:t>
      </w:r>
      <w:r>
        <w:t>) is at once the product and the condition of the exercise. And, like an athlete’s fitness, it can be lost when the exercise stops.</w:t>
      </w:r>
    </w:p>
    <w:p w14:paraId="10D7B21E" w14:textId="77777777" w:rsidR="00D0529E" w:rsidRDefault="00000000">
      <w:pPr>
        <w:ind w:firstLine="283"/>
        <w:jc w:val="both"/>
      </w:pPr>
      <w:r>
        <w:t>A further detail, less often noticed, shows how deeply the gymnasium has entered Aristotle’s ethical vocabulary. When he explains that the mean is relative to us and not to the object, he chooses the example of the celebrated wrestler Milo: an amount of food that would be little for him would be a great deal for someone just beginning to train</w:t>
      </w:r>
      <w:r>
        <w:rPr>
          <w:sz w:val="16"/>
          <w:vertAlign w:val="superscript"/>
        </w:rPr>
        <w:footnoteReference w:id="9"/>
      </w:r>
      <w:r>
        <w:t>. The right measure is not a figure valid for everyone; it depends on the body – and on the soul – that is being trained. Here too the athlete teaches what numbers alone cannot say. Virtue is not given, it is trained; and each of us trains it according to our own measure.</w:t>
      </w:r>
    </w:p>
    <w:p w14:paraId="3DD8DD33" w14:textId="77777777" w:rsidR="00D0529E" w:rsidRDefault="00000000">
      <w:pPr>
        <w:keepNext/>
        <w:spacing w:before="552" w:after="276"/>
      </w:pPr>
      <w:r>
        <w:rPr>
          <w:rFonts w:ascii="Arial" w:hAnsi="Arial" w:cs="Arial"/>
          <w:b/>
        </w:rPr>
        <w:t>4. Paul: the redirected prize</w:t>
      </w:r>
    </w:p>
    <w:p w14:paraId="43AABF20" w14:textId="77777777" w:rsidR="00D0529E" w:rsidRDefault="00000000">
      <w:pPr>
        <w:ind w:firstLine="283"/>
        <w:jc w:val="both"/>
      </w:pPr>
      <w:r>
        <w:t>The third stage is the hinge of the whole story. Writing to the community of Corinth, a city near which the Isthmian games were celebrated every two years</w:t>
      </w:r>
      <w:r>
        <w:rPr>
          <w:sz w:val="16"/>
          <w:vertAlign w:val="superscript"/>
        </w:rPr>
        <w:footnoteReference w:id="10"/>
      </w:r>
      <w:r>
        <w:t>, Paul uses a language his readers knew perfectly well:</w:t>
      </w:r>
    </w:p>
    <w:p w14:paraId="0873010D" w14:textId="77777777" w:rsidR="00D0529E" w:rsidRDefault="00000000">
      <w:pPr>
        <w:spacing w:before="240" w:after="240" w:line="240" w:lineRule="exact"/>
        <w:ind w:firstLine="283"/>
        <w:jc w:val="both"/>
      </w:pPr>
      <w:r>
        <w:rPr>
          <w:sz w:val="20"/>
          <w:szCs w:val="20"/>
        </w:rPr>
        <w:t xml:space="preserve">Do you not know that in a race all the runners run, but only one receives the prize? So run that you may obtain it. Every athlete exercises self-control in all things. </w:t>
      </w:r>
      <w:r>
        <w:rPr>
          <w:sz w:val="20"/>
          <w:szCs w:val="20"/>
        </w:rPr>
        <w:lastRenderedPageBreak/>
        <w:t xml:space="preserve">They do it to receive a perishable wreath, but we </w:t>
      </w:r>
      <w:proofErr w:type="gramStart"/>
      <w:r>
        <w:rPr>
          <w:sz w:val="20"/>
          <w:szCs w:val="20"/>
        </w:rPr>
        <w:t>an imperishable</w:t>
      </w:r>
      <w:proofErr w:type="gramEnd"/>
      <w:r>
        <w:rPr>
          <w:sz w:val="20"/>
          <w:szCs w:val="20"/>
        </w:rPr>
        <w:t xml:space="preserve">. </w:t>
      </w:r>
      <w:proofErr w:type="gramStart"/>
      <w:r>
        <w:rPr>
          <w:sz w:val="20"/>
          <w:szCs w:val="20"/>
        </w:rPr>
        <w:t>So</w:t>
      </w:r>
      <w:proofErr w:type="gramEnd"/>
      <w:r>
        <w:rPr>
          <w:sz w:val="20"/>
          <w:szCs w:val="20"/>
        </w:rPr>
        <w:t xml:space="preserve"> I do not run aimlessly; I do not box as one beating the air. But I discipline my body and keep it under control, lest after preaching to others </w:t>
      </w:r>
      <w:proofErr w:type="gramStart"/>
      <w:r>
        <w:rPr>
          <w:sz w:val="20"/>
          <w:szCs w:val="20"/>
        </w:rPr>
        <w:t>I myself</w:t>
      </w:r>
      <w:proofErr w:type="gramEnd"/>
      <w:r>
        <w:rPr>
          <w:sz w:val="20"/>
          <w:szCs w:val="20"/>
        </w:rPr>
        <w:t xml:space="preserve"> should be disqualified</w:t>
      </w:r>
      <w:r>
        <w:rPr>
          <w:sz w:val="16"/>
          <w:vertAlign w:val="superscript"/>
        </w:rPr>
        <w:footnoteReference w:id="11"/>
      </w:r>
      <w:r>
        <w:rPr>
          <w:sz w:val="20"/>
          <w:szCs w:val="20"/>
        </w:rPr>
        <w:t>.</w:t>
      </w:r>
    </w:p>
    <w:p w14:paraId="3EFBFBB5" w14:textId="77777777" w:rsidR="00D0529E" w:rsidRDefault="00000000">
      <w:pPr>
        <w:ind w:firstLine="283"/>
        <w:jc w:val="both"/>
      </w:pPr>
      <w:r>
        <w:t>Paul takes an image that enjoyed enormous prestige in the Greek and Roman world – the runner and the boxer, figures everyone admired – and redirects it. The athlete’s self-control (</w:t>
      </w:r>
      <w:r>
        <w:rPr>
          <w:i/>
        </w:rPr>
        <w:t>enkrateia</w:t>
      </w:r>
      <w:r>
        <w:t>) is retained, even intensified: the verb Paul uses for the treatment of his own body evokes the blow struck under the eye in a boxing match. What changes is the prize. The perishable wreath of the games gives way to an imperishable one, and the danger to be feared is no longer defeat by an opponent but the disqualification of one who, having proclaimed the rules to others, fails to keep them himself.</w:t>
      </w:r>
    </w:p>
    <w:p w14:paraId="63F41A21" w14:textId="77777777" w:rsidR="00D0529E" w:rsidRDefault="00000000">
      <w:pPr>
        <w:ind w:firstLine="283"/>
        <w:jc w:val="both"/>
      </w:pPr>
      <w:r>
        <w:t xml:space="preserve">The redirection also concerns the logic of the contest. In the stadium only one runner wins; in the community to which Paul writes, everyone is invited to run </w:t>
      </w:r>
      <w:proofErr w:type="gramStart"/>
      <w:r>
        <w:t>so as to</w:t>
      </w:r>
      <w:proofErr w:type="gramEnd"/>
      <w:r>
        <w:t xml:space="preserve"> win. The </w:t>
      </w:r>
      <w:r>
        <w:rPr>
          <w:i/>
        </w:rPr>
        <w:t>agōn</w:t>
      </w:r>
      <w:r>
        <w:t xml:space="preserve"> ceases to be a struggle between rivals and becomes a condition shared by all. This is the decisive shift, and scholarship has rightly insisted on it: the Pauline </w:t>
      </w:r>
      <w:r>
        <w:rPr>
          <w:i/>
        </w:rPr>
        <w:t>agōn</w:t>
      </w:r>
      <w:r>
        <w:t xml:space="preserve"> is less a fight against others than an effort sustained within oneself and on behalf of others, the effort of one who is at the same time athlete and messenger of the Gospel</w:t>
      </w:r>
      <w:r>
        <w:rPr>
          <w:sz w:val="16"/>
          <w:vertAlign w:val="superscript"/>
        </w:rPr>
        <w:footnoteReference w:id="12"/>
      </w:r>
      <w:r>
        <w:t>. Other writings of the Pauline tradition extend the same register: the runner who forgets what lies behind and strains towards the goal (Phil 3:13-14), the apostle who has fought the good fight and finished the race (2 Tim 4:7), the cloud of witnesses surrounding those who run with perseverance (Heb 12:1).</w:t>
      </w:r>
    </w:p>
    <w:p w14:paraId="269B59DA" w14:textId="77777777" w:rsidR="00D0529E" w:rsidRDefault="00000000">
      <w:pPr>
        <w:ind w:firstLine="283"/>
        <w:jc w:val="both"/>
      </w:pPr>
      <w:r>
        <w:t>Paul’s move had been prepared by a philosophical tradition that had already made the athlete a figure of the sage. Epictetus reminds his hearers that it is difficulties that show what a man is, and that when a trial comes God is acting like a trainer who has matched us with a rough young opponent</w:t>
      </w:r>
      <w:r>
        <w:rPr>
          <w:sz w:val="16"/>
          <w:vertAlign w:val="superscript"/>
        </w:rPr>
        <w:footnoteReference w:id="13"/>
      </w:r>
      <w:r>
        <w:t xml:space="preserve">. Seneca writes that virtue withers without an </w:t>
      </w:r>
      <w:r>
        <w:lastRenderedPageBreak/>
        <w:t>adversary</w:t>
      </w:r>
      <w:r>
        <w:rPr>
          <w:sz w:val="16"/>
          <w:vertAlign w:val="superscript"/>
        </w:rPr>
        <w:footnoteReference w:id="14"/>
      </w:r>
      <w:r>
        <w:t>. After Paul, however, the word “athlete” becomes an ordinary way of describing, in the Christian lexicon, someone engaged in spiritual discipline. The martyrs were its first heirs. Tertullian encourages the imprisoned confessors by describing their imminent trial as a noble contest in which the living God presides over the games and the Holy Spirit is the trainer</w:t>
      </w:r>
      <w:r>
        <w:rPr>
          <w:sz w:val="16"/>
          <w:vertAlign w:val="superscript"/>
        </w:rPr>
        <w:footnoteReference w:id="15"/>
      </w:r>
      <w:r>
        <w:t>; Perpetua, in the vision that precedes her death, sees herself in the arena wrestling with an Egyptian, and understands on waking that her real adversary is the devil</w:t>
      </w:r>
      <w:r>
        <w:rPr>
          <w:sz w:val="16"/>
          <w:vertAlign w:val="superscript"/>
        </w:rPr>
        <w:footnoteReference w:id="16"/>
      </w:r>
      <w:r>
        <w:t>. The metaphor had reached its most extreme literalness: the arena was real, and so was the blood. Much of what follows, in the early Church and in the monastic world, can be read as a long commentary on Paul’s passage – and as an attempt to translate that literalness back into a daily practice.</w:t>
      </w:r>
    </w:p>
    <w:p w14:paraId="30D2CF52" w14:textId="77777777" w:rsidR="00D0529E" w:rsidRDefault="00000000">
      <w:pPr>
        <w:keepNext/>
        <w:spacing w:before="552" w:after="276"/>
      </w:pPr>
      <w:r>
        <w:rPr>
          <w:rFonts w:ascii="Arial" w:hAnsi="Arial" w:cs="Arial"/>
          <w:b/>
        </w:rPr>
        <w:t>5. Benedict: from stadium to studium</w:t>
      </w:r>
    </w:p>
    <w:p w14:paraId="22684F70" w14:textId="77777777" w:rsidR="00D0529E" w:rsidRDefault="00000000">
      <w:pPr>
        <w:ind w:firstLine="283"/>
        <w:jc w:val="both"/>
      </w:pPr>
      <w:r>
        <w:t>When the age of persecution came to an end, the arena did not disappear; it changed place. Peter Brown has shown how the ascetic movement of late antiquity transferred to the body of the renouncer a struggle that had once been fought in public, turning the desert into a new theatre of combat</w:t>
      </w:r>
      <w:r>
        <w:rPr>
          <w:sz w:val="16"/>
          <w:vertAlign w:val="superscript"/>
        </w:rPr>
        <w:footnoteReference w:id="17"/>
      </w:r>
      <w:r>
        <w:t>. In the West, John Cassian brought this language into the monastic literature of Gaul, drawing heavily on Paul’s image of the athlete who abstains from everything</w:t>
      </w:r>
      <w:r>
        <w:rPr>
          <w:sz w:val="16"/>
          <w:vertAlign w:val="superscript"/>
        </w:rPr>
        <w:footnoteReference w:id="18"/>
      </w:r>
      <w:r>
        <w:t>. But it is with the Rule of Benedict, in the sixth century, that the athletic metaphor enters the very structure of a way of life destined to shape European monasticism for centuries.</w:t>
      </w:r>
    </w:p>
    <w:p w14:paraId="16BC3C94" w14:textId="77777777" w:rsidR="00D0529E" w:rsidRDefault="00000000">
      <w:pPr>
        <w:ind w:firstLine="283"/>
        <w:jc w:val="both"/>
      </w:pPr>
      <w:r>
        <w:t xml:space="preserve">The key sentence stands at the end of the Prologue: «as we progress in this way of life and in faith, our hearts expand and we run the way </w:t>
      </w:r>
      <w:r>
        <w:lastRenderedPageBreak/>
        <w:t>of God’s commandments with the inexpressible sweetness of love»</w:t>
      </w:r>
      <w:r>
        <w:rPr>
          <w:sz w:val="16"/>
          <w:vertAlign w:val="superscript"/>
        </w:rPr>
        <w:footnoteReference w:id="19"/>
      </w:r>
      <w:r>
        <w:t xml:space="preserve">. The image of the race, however, does not appear only once: it runs through the whole Prologue. At the beginning, the divine voice exhorts: «Run while you have the light of life, lest the darkness of death overtake you» (Prol. 13). A little further on, Benedict adds that one does not reach the dwelling of the Kingdom unless one runs there by good deeds (Prol. 22). The race stands at once for urgency and for continuous moral action. It is not enough to know the right path; the monk </w:t>
      </w:r>
      <w:proofErr w:type="gramStart"/>
      <w:r>
        <w:t>has to</w:t>
      </w:r>
      <w:proofErr w:type="gramEnd"/>
      <w:r>
        <w:t xml:space="preserve"> move along it.</w:t>
      </w:r>
    </w:p>
    <w:p w14:paraId="4E6CB8C8" w14:textId="77777777" w:rsidR="00D0529E" w:rsidRDefault="00000000">
      <w:pPr>
        <w:ind w:firstLine="283"/>
        <w:jc w:val="both"/>
      </w:pPr>
      <w:r>
        <w:t>Alongside the language of running there is a language of combat. Those who enter the monastery take up «the strong and noble weapons of obedience» (Prol. 3</w:t>
      </w:r>
      <w:proofErr w:type="gramStart"/>
      <w:r>
        <w:t>), and</w:t>
      </w:r>
      <w:proofErr w:type="gramEnd"/>
      <w:r>
        <w:t xml:space="preserve"> must prepare «hearts and bodies» to fight under the holy obedience of the commandments (Prol. 40). In the first chapter, describing the anchorites, Benedict explains that only those who have been tested for a long time in the monastery, who have learned with the help of many to fight against the devil, can leave the ranks of their brethren for the «single combat of the desert» (RB 1, 3-5). The register is not strictly athletic but agonistic: monastic life requires effort, discipline, resistance, training. And the training is communal before it is solitary.</w:t>
      </w:r>
    </w:p>
    <w:p w14:paraId="3BF9A148" w14:textId="77777777" w:rsidR="00D0529E" w:rsidRDefault="00000000">
      <w:pPr>
        <w:ind w:firstLine="283"/>
        <w:jc w:val="both"/>
      </w:pPr>
      <w:r>
        <w:t>This training takes place within what Benedict calls «a school of the Lord’s service» (</w:t>
      </w:r>
      <w:r>
        <w:rPr>
          <w:i/>
        </w:rPr>
        <w:t>dominici schola servitii</w:t>
      </w:r>
      <w:r>
        <w:t xml:space="preserve">, Prol. 45). Commentators have discussed whether </w:t>
      </w:r>
      <w:r>
        <w:rPr>
          <w:i/>
        </w:rPr>
        <w:t>schola</w:t>
      </w:r>
      <w:r>
        <w:t xml:space="preserve"> should be heard here in its scholastic sense or in the late antique sense of a body of men in service, such as the palace guard</w:t>
      </w:r>
      <w:r>
        <w:rPr>
          <w:sz w:val="16"/>
          <w:vertAlign w:val="superscript"/>
        </w:rPr>
        <w:footnoteReference w:id="20"/>
      </w:r>
      <w:r>
        <w:t xml:space="preserve">; the ambiguity is itself instructive, because it holds together learning and discipline. The monastery is not simply a place of withdrawal. It is a place where a person is gradually formed through prayer, work, obedience, correction and repeated practice. The Greek </w:t>
      </w:r>
      <w:r>
        <w:rPr>
          <w:i/>
        </w:rPr>
        <w:t>scholē</w:t>
      </w:r>
      <w:r>
        <w:t xml:space="preserve">, from which </w:t>
      </w:r>
      <w:r>
        <w:rPr>
          <w:i/>
        </w:rPr>
        <w:t>schola</w:t>
      </w:r>
      <w:r>
        <w:t xml:space="preserve"> derives, meant leisure: time set free from necessity. The monastic school turns that free time into a time of formation – an exercise that fills time instead of emptying it.</w:t>
      </w:r>
    </w:p>
    <w:p w14:paraId="72AD0BB6" w14:textId="77777777" w:rsidR="00D0529E" w:rsidRDefault="00000000">
      <w:pPr>
        <w:ind w:firstLine="283"/>
        <w:jc w:val="both"/>
      </w:pPr>
      <w:r>
        <w:t xml:space="preserve">At the end of the Prologue, however, the image changes. The effort </w:t>
      </w:r>
      <w:r>
        <w:lastRenderedPageBreak/>
        <w:t xml:space="preserve">does not disappear, but it is transfigured: as the </w:t>
      </w:r>
      <w:proofErr w:type="gramStart"/>
      <w:r>
        <w:t>monks</w:t>
      </w:r>
      <w:proofErr w:type="gramEnd"/>
      <w:r>
        <w:t xml:space="preserve"> advance, the heart «expands» and the running becomes, paradoxically, lighter. The race is no longer a competition against someone else; it is a process of transformation, which Benedict measures not by speed but by duration, since the Prologue closes by asking the monks to persevere in the monastery until death (Prol. 50). The gymnasium becomes the monastery; training becomes a rule of life; victory becomes perseverance. The stadium becomes the </w:t>
      </w:r>
      <w:r>
        <w:rPr>
          <w:i/>
        </w:rPr>
        <w:t>studium</w:t>
      </w:r>
      <w:r>
        <w:t>. It is hardly by chance that the monastic culture which grew out of that Rule was, as Jean Leclercq showed, one in which the love of learning and the desire for God were practised together, through the slow, repeated and bodily exercise of reading</w:t>
      </w:r>
      <w:r>
        <w:rPr>
          <w:sz w:val="16"/>
          <w:vertAlign w:val="superscript"/>
        </w:rPr>
        <w:footnoteReference w:id="21"/>
      </w:r>
      <w:r>
        <w:t>.</w:t>
      </w:r>
    </w:p>
    <w:p w14:paraId="73A74D09" w14:textId="77777777" w:rsidR="00D0529E" w:rsidRDefault="00000000">
      <w:pPr>
        <w:keepNext/>
        <w:spacing w:before="552" w:after="276"/>
      </w:pPr>
      <w:r>
        <w:rPr>
          <w:rFonts w:ascii="Arial" w:hAnsi="Arial" w:cs="Arial"/>
          <w:b/>
        </w:rPr>
        <w:t>6. Gregory the Great: the limbs of the mind</w:t>
      </w:r>
    </w:p>
    <w:p w14:paraId="74433F23" w14:textId="77777777" w:rsidR="00D0529E" w:rsidRDefault="00000000">
      <w:pPr>
        <w:ind w:firstLine="283"/>
        <w:jc w:val="both"/>
      </w:pPr>
      <w:r>
        <w:t xml:space="preserve">The fifth stage brings us to the end of the sixth century. Gregory – a former prefect of Rome who had turned his family house on the Caelian into a monastery, and who later became pope – began the </w:t>
      </w:r>
      <w:r>
        <w:rPr>
          <w:i/>
        </w:rPr>
        <w:t>Moralia in Iob</w:t>
      </w:r>
      <w:r>
        <w:t xml:space="preserve"> while serving as papal representative in Constantinople, in the form of conversations with the monks who had followed him </w:t>
      </w:r>
      <w:proofErr w:type="gramStart"/>
      <w:r>
        <w:t>there, and</w:t>
      </w:r>
      <w:proofErr w:type="gramEnd"/>
      <w:r>
        <w:t xml:space="preserve"> completed it years later in Rome</w:t>
      </w:r>
      <w:r>
        <w:rPr>
          <w:sz w:val="16"/>
          <w:vertAlign w:val="superscript"/>
        </w:rPr>
        <w:footnoteReference w:id="22"/>
      </w:r>
      <w:r>
        <w:t>. The Book of Job tells the story of a righteous man tested by loss, suffering and disease, who nonetheless refuses to turn away from God. This is precisely why Gregory can read Job’s suffering as an athletic contest against the devil. Commenting on the opening description of Job, he writes:</w:t>
      </w:r>
    </w:p>
    <w:p w14:paraId="52DA1F12" w14:textId="77777777" w:rsidR="00D0529E" w:rsidRDefault="00000000">
      <w:pPr>
        <w:spacing w:before="240" w:after="240" w:line="240" w:lineRule="exact"/>
        <w:ind w:firstLine="283"/>
        <w:jc w:val="both"/>
      </w:pPr>
      <w:r>
        <w:rPr>
          <w:sz w:val="20"/>
          <w:szCs w:val="20"/>
        </w:rPr>
        <w:t xml:space="preserve">It is the custom of narrators, when a wrestling match is woven into the story, first to describe the limbs of the combatants: how broad and strong the chest, how sound, how full the muscles, how the belly is neither clogged by its weight nor weakened by its leanness; so that, having first shown the limbs to be fit for the combat, they may then describe their powerful blows. Thus, because our athlete was about to contend against the devil, the writer of sacred history, as though before the spectacle in the arena, recounts the spiritual virtues of this athlete and describes the limbs of his mind, saying: </w:t>
      </w:r>
      <w:r>
        <w:rPr>
          <w:i/>
          <w:sz w:val="20"/>
          <w:szCs w:val="20"/>
        </w:rPr>
        <w:t xml:space="preserve">That man was simple and upright, fearing God and turning away from </w:t>
      </w:r>
      <w:r>
        <w:rPr>
          <w:i/>
          <w:sz w:val="20"/>
          <w:szCs w:val="20"/>
        </w:rPr>
        <w:lastRenderedPageBreak/>
        <w:t>evil</w:t>
      </w:r>
      <w:r>
        <w:rPr>
          <w:sz w:val="16"/>
          <w:vertAlign w:val="superscript"/>
        </w:rPr>
        <w:footnoteReference w:id="23"/>
      </w:r>
      <w:r>
        <w:rPr>
          <w:sz w:val="20"/>
          <w:szCs w:val="20"/>
        </w:rPr>
        <w:t>.</w:t>
      </w:r>
    </w:p>
    <w:p w14:paraId="14E6CB09" w14:textId="77777777" w:rsidR="00D0529E" w:rsidRDefault="00000000">
      <w:pPr>
        <w:ind w:firstLine="283"/>
        <w:jc w:val="both"/>
      </w:pPr>
      <w:r>
        <w:t xml:space="preserve">Gregory turns the opening of the Book of Job into the prelude to a match. Before narrating a contest, a good narrator presents the physical condition of the competitors; in the same way the biblical text presents Job’s spiritual condition before the struggle begins. Job’s virtues – simplicity, uprightness, fear of God, the refusal of evil – are the limbs and muscles of his inner body, the </w:t>
      </w:r>
      <w:r>
        <w:rPr>
          <w:i/>
        </w:rPr>
        <w:t>membra mentis</w:t>
      </w:r>
      <w:r>
        <w:t>. The devil will strike him through loss, pain and illness, but those limbs will allow him to resist.</w:t>
      </w:r>
    </w:p>
    <w:p w14:paraId="7507D568" w14:textId="77777777" w:rsidR="00D0529E" w:rsidRDefault="00000000">
      <w:pPr>
        <w:ind w:firstLine="283"/>
        <w:jc w:val="both"/>
      </w:pPr>
      <w:r>
        <w:t xml:space="preserve">Strictly speaking, this is no longer an image of training. It is the moment after training, when strength is tested against an opponent. Virtue appears as a form of spiritual fitness which already exists in Job, but which only the struggle makes visible. Seneca’s formula seems to resurface here in a Christian key: a virtue without an adversary </w:t>
      </w:r>
      <w:proofErr w:type="gramStart"/>
      <w:r>
        <w:t>withers, or</w:t>
      </w:r>
      <w:proofErr w:type="gramEnd"/>
      <w:r>
        <w:t xml:space="preserve"> at least remains unseen. The victory of this athlete is not a knockout. It is perseverance.</w:t>
      </w:r>
    </w:p>
    <w:p w14:paraId="4892FF60" w14:textId="77777777" w:rsidR="00D0529E" w:rsidRDefault="00000000">
      <w:pPr>
        <w:ind w:firstLine="283"/>
        <w:jc w:val="both"/>
      </w:pPr>
      <w:r>
        <w:t>Carole Straw has described Gregory’s moral thought as a search for «perfection in imperfection», an equilibrium that accepts adversity as the place in which the soul is purified and made firm</w:t>
      </w:r>
      <w:r>
        <w:rPr>
          <w:sz w:val="16"/>
          <w:vertAlign w:val="superscript"/>
        </w:rPr>
        <w:footnoteReference w:id="24"/>
      </w:r>
      <w:r>
        <w:t xml:space="preserve">. The athletic reading of Job belongs fully to that perspective. Gregory’s athlete does not win because he is invulnerable; he wins because he learns to be vulnerable in the right way. The Latin Bible on which Gregory was commenting offered him, a few chapters later, a verse that could serve as a motto for the whole tradition we have been following: </w:t>
      </w:r>
      <w:r>
        <w:rPr>
          <w:i/>
        </w:rPr>
        <w:t>militia est vita hominis super terram</w:t>
      </w:r>
      <w:r>
        <w:t xml:space="preserve">, «the life of man upon earth is a warfare» (Job 7:1). Augustine, quoting the same verse in an older Latin form, had read in it </w:t>
      </w:r>
      <w:r>
        <w:rPr>
          <w:i/>
        </w:rPr>
        <w:t>temptatio</w:t>
      </w:r>
      <w:r>
        <w:t xml:space="preserve">, trial: human life on earth, he wrote in the tenth book of the </w:t>
      </w:r>
      <w:r>
        <w:rPr>
          <w:i/>
        </w:rPr>
        <w:t>Confessions</w:t>
      </w:r>
      <w:r>
        <w:t>, is a trial without interruption</w:t>
      </w:r>
      <w:r>
        <w:rPr>
          <w:sz w:val="16"/>
          <w:vertAlign w:val="superscript"/>
        </w:rPr>
        <w:footnoteReference w:id="25"/>
      </w:r>
      <w:r>
        <w:t xml:space="preserve">. Warfare and trial, contest and exposure: the athlete of the soul is one who carries his own fragility about with </w:t>
      </w:r>
      <w:proofErr w:type="gramStart"/>
      <w:r>
        <w:t>him, and</w:t>
      </w:r>
      <w:proofErr w:type="gramEnd"/>
      <w:r>
        <w:t xml:space="preserve"> learns to hold it together.</w:t>
      </w:r>
    </w:p>
    <w:p w14:paraId="4A5BE4CF" w14:textId="77777777" w:rsidR="00D0529E" w:rsidRDefault="00000000">
      <w:pPr>
        <w:keepNext/>
        <w:spacing w:before="552" w:after="276"/>
      </w:pPr>
      <w:r>
        <w:rPr>
          <w:rFonts w:ascii="Arial" w:hAnsi="Arial" w:cs="Arial"/>
          <w:b/>
        </w:rPr>
        <w:lastRenderedPageBreak/>
        <w:t>7. Conclusion: practice, resistance, perseverance</w:t>
      </w:r>
    </w:p>
    <w:p w14:paraId="4265B85C" w14:textId="77777777" w:rsidR="00D0529E" w:rsidRDefault="00000000">
      <w:pPr>
        <w:ind w:firstLine="283"/>
        <w:jc w:val="both"/>
      </w:pPr>
      <w:r>
        <w:t>Across these texts the athlete’s body becomes a way of thinking about the formation of the self. What begins in Greek philosophy as training for virtue – political in Plato, ethical in Aristotle – becomes in Paul a race towards an imperishable prize, in Benedict the rule of a community that runs together, in Gregory a spiritual contest against evil. The metaphor changes, and it changes a great deal: the opponent passes from the self to the devil, the prize from the wreath to salvation, the place from the gymnasium to the cloister. Yet its central meaning remains. There is no lasting transformation without practice, resistance and perseverance.</w:t>
      </w:r>
    </w:p>
    <w:p w14:paraId="535E6F1F" w14:textId="77777777" w:rsidR="00D0529E" w:rsidRDefault="00000000">
      <w:pPr>
        <w:ind w:firstLine="283"/>
        <w:jc w:val="both"/>
      </w:pPr>
      <w:r>
        <w:t xml:space="preserve">One element, perhaps the most important, runs beneath all five stages without ever being made explicit by any of them: the athletic metaphor presupposes that the human being is not complete. One trains because one is </w:t>
      </w:r>
      <w:proofErr w:type="gramStart"/>
      <w:r>
        <w:t>not</w:t>
      </w:r>
      <w:proofErr w:type="gramEnd"/>
      <w:r>
        <w:t xml:space="preserve"> yet what one could be; one competes because one might lose; one perseveres because one might stop. The athlete is the figure of a fragility that does not deny itself but takes itself in hand. This is why the image could pass from the Academy to the monastery without losing its force: it spoke to a condition, not to a doctrine.</w:t>
      </w:r>
    </w:p>
    <w:p w14:paraId="68D9DFF6" w14:textId="77777777" w:rsidR="00D0529E" w:rsidRDefault="00000000">
      <w:pPr>
        <w:ind w:firstLine="283"/>
        <w:jc w:val="both"/>
      </w:pPr>
      <w:r>
        <w:t>A final remark concerns the interpreter rather than the texts. Reading these pages today, in an age that measures the athletic act with a precision unknown to the ancients, one might think the metaphor has been exhausted by its own literalisation: the body has become the object of sports science, exercise has become performance, the prize has become a record. The history traced here suggests otherwise. Numbers tell us how high someone has jumped; they do not tell us why it matters, nor what the jump has done to the person who made it. That question has always belonged to interpretation, and interpretation, too, is an exercise: it requires method, repetition and the willingness to be tested by the sources, and it is never neutral, because the interpreter always takes part in the contest</w:t>
      </w:r>
      <w:r>
        <w:rPr>
          <w:sz w:val="16"/>
          <w:vertAlign w:val="superscript"/>
        </w:rPr>
        <w:footnoteReference w:id="26"/>
      </w:r>
      <w:r>
        <w:t>. Ancient and medieval authors knew that virtue could be trained but not measured. Perhaps this is the lesson worth keeping: what counts in a life is not the height reached once, but the capacity to stay in the race.</w:t>
      </w:r>
    </w:p>
    <w:p w14:paraId="5792ADA8" w14:textId="77777777" w:rsidR="00D16156" w:rsidRDefault="00D16156" w:rsidP="00D16156">
      <w:pPr>
        <w:spacing w:before="552" w:after="276"/>
      </w:pPr>
      <w:r>
        <w:rPr>
          <w:rFonts w:ascii="Arial" w:eastAsia="Arial" w:hAnsi="Arial"/>
          <w:b/>
        </w:rPr>
        <w:lastRenderedPageBreak/>
        <w:t>References</w:t>
      </w:r>
    </w:p>
    <w:p w14:paraId="311CFD8B" w14:textId="77777777" w:rsidR="00D16156" w:rsidRDefault="00D16156" w:rsidP="00D16156">
      <w:pPr>
        <w:spacing w:before="552" w:after="276"/>
      </w:pPr>
      <w:r>
        <w:rPr>
          <w:rFonts w:ascii="Arial" w:eastAsia="Arial" w:hAnsi="Arial"/>
          <w:b/>
          <w:i/>
        </w:rPr>
        <w:t>Sources</w:t>
      </w:r>
    </w:p>
    <w:p w14:paraId="40378C79" w14:textId="77777777" w:rsidR="00D16156" w:rsidRDefault="00D16156" w:rsidP="00D16156">
      <w:pPr>
        <w:ind w:left="283" w:hanging="283"/>
      </w:pPr>
      <w:r>
        <w:rPr>
          <w:sz w:val="18"/>
        </w:rPr>
        <w:t xml:space="preserve">Adriaen M., ed. (1979-1985), </w:t>
      </w:r>
      <w:r>
        <w:rPr>
          <w:i/>
          <w:sz w:val="18"/>
        </w:rPr>
        <w:t>S. Gregorii Magni Moralia in Iob</w:t>
      </w:r>
      <w:r>
        <w:rPr>
          <w:sz w:val="18"/>
        </w:rPr>
        <w:t>, Corpus Christianorum Series Latina 143, 143A, 143B, Brepols, Turnhout.</w:t>
      </w:r>
    </w:p>
    <w:p w14:paraId="2E14C2AB" w14:textId="77777777" w:rsidR="00D16156" w:rsidRDefault="00D16156" w:rsidP="00D16156">
      <w:pPr>
        <w:ind w:left="283" w:hanging="283"/>
      </w:pPr>
      <w:r>
        <w:rPr>
          <w:sz w:val="18"/>
        </w:rPr>
        <w:t xml:space="preserve">Aristotle (2009), </w:t>
      </w:r>
      <w:r>
        <w:rPr>
          <w:i/>
          <w:sz w:val="18"/>
        </w:rPr>
        <w:t>The Nicomachean Ethics</w:t>
      </w:r>
      <w:r>
        <w:rPr>
          <w:sz w:val="18"/>
        </w:rPr>
        <w:t>, trans. W.D. Ross, rev. L. Brown, Oxford University Press, Oxford.</w:t>
      </w:r>
    </w:p>
    <w:p w14:paraId="6D7CE340" w14:textId="77777777" w:rsidR="00D16156" w:rsidRDefault="00D16156" w:rsidP="00D16156">
      <w:pPr>
        <w:ind w:left="283" w:hanging="283"/>
      </w:pPr>
      <w:r>
        <w:rPr>
          <w:sz w:val="18"/>
        </w:rPr>
        <w:t xml:space="preserve">Augustine (1981), </w:t>
      </w:r>
      <w:r>
        <w:rPr>
          <w:i/>
          <w:sz w:val="18"/>
        </w:rPr>
        <w:t>Confessionum libri XIII</w:t>
      </w:r>
      <w:r>
        <w:rPr>
          <w:sz w:val="18"/>
        </w:rPr>
        <w:t>, ed. L. Verheijen, Corpus Christianorum Series Latina 27, Brepols, Turnhout.</w:t>
      </w:r>
    </w:p>
    <w:p w14:paraId="6B26F2E0" w14:textId="77777777" w:rsidR="00D16156" w:rsidRDefault="00D16156" w:rsidP="00D16156">
      <w:pPr>
        <w:ind w:left="283" w:hanging="283"/>
      </w:pPr>
      <w:r>
        <w:rPr>
          <w:sz w:val="18"/>
        </w:rPr>
        <w:t xml:space="preserve">Bliss J., trans. (1844-1850), </w:t>
      </w:r>
      <w:r>
        <w:rPr>
          <w:i/>
          <w:sz w:val="18"/>
        </w:rPr>
        <w:t>Morals on the Book of Job by S. Gregory the Great</w:t>
      </w:r>
      <w:r>
        <w:rPr>
          <w:sz w:val="18"/>
        </w:rPr>
        <w:t>, 3 vols. in 4, J.H. Parker, Oxford.</w:t>
      </w:r>
    </w:p>
    <w:p w14:paraId="5040797B" w14:textId="77777777" w:rsidR="00D16156" w:rsidRDefault="00D16156" w:rsidP="00D16156">
      <w:pPr>
        <w:ind w:left="283" w:hanging="283"/>
      </w:pPr>
      <w:r>
        <w:rPr>
          <w:sz w:val="18"/>
        </w:rPr>
        <w:t xml:space="preserve">Cassian J. (1965), </w:t>
      </w:r>
      <w:r>
        <w:rPr>
          <w:i/>
          <w:sz w:val="18"/>
        </w:rPr>
        <w:t>Institutions cénobitiques</w:t>
      </w:r>
      <w:r>
        <w:rPr>
          <w:sz w:val="18"/>
        </w:rPr>
        <w:t>, ed. J.-C. Guy, Sources Chrétiennes 109, Cerf, Paris.</w:t>
      </w:r>
    </w:p>
    <w:p w14:paraId="54813222" w14:textId="77777777" w:rsidR="00D16156" w:rsidRDefault="00D16156" w:rsidP="00D16156">
      <w:pPr>
        <w:ind w:left="283" w:hanging="283"/>
      </w:pPr>
      <w:r>
        <w:rPr>
          <w:sz w:val="18"/>
        </w:rPr>
        <w:t xml:space="preserve">Dodds E.R., ed. (1959), </w:t>
      </w:r>
      <w:r>
        <w:rPr>
          <w:i/>
          <w:sz w:val="18"/>
        </w:rPr>
        <w:t>Plato, Gorgias. A Revised Text with Introduction and Commentary</w:t>
      </w:r>
      <w:r>
        <w:rPr>
          <w:sz w:val="18"/>
        </w:rPr>
        <w:t>, Clarendon Press, Oxford.</w:t>
      </w:r>
    </w:p>
    <w:p w14:paraId="7B6D2301" w14:textId="77777777" w:rsidR="00D16156" w:rsidRDefault="00D16156" w:rsidP="00D16156">
      <w:pPr>
        <w:ind w:left="283" w:hanging="283"/>
      </w:pPr>
      <w:r>
        <w:rPr>
          <w:sz w:val="18"/>
        </w:rPr>
        <w:t xml:space="preserve">Epictetus (1916), </w:t>
      </w:r>
      <w:r>
        <w:rPr>
          <w:i/>
          <w:sz w:val="18"/>
        </w:rPr>
        <w:t>Epicteti dissertationes ab Arriano digestae</w:t>
      </w:r>
      <w:r>
        <w:rPr>
          <w:sz w:val="18"/>
        </w:rPr>
        <w:t>, ed. H. Schenkl, B.G. Teubner, Leipzig.</w:t>
      </w:r>
    </w:p>
    <w:p w14:paraId="24E4E9B5" w14:textId="77777777" w:rsidR="00D16156" w:rsidRDefault="00D16156" w:rsidP="00D16156">
      <w:pPr>
        <w:ind w:left="283" w:hanging="283"/>
      </w:pPr>
      <w:r>
        <w:rPr>
          <w:sz w:val="18"/>
        </w:rPr>
        <w:t xml:space="preserve">Fry T., ed. (1981), </w:t>
      </w:r>
      <w:r>
        <w:rPr>
          <w:i/>
          <w:sz w:val="18"/>
        </w:rPr>
        <w:t>RB 1980. The Rule of St. Benedict in Latin and English with Notes</w:t>
      </w:r>
      <w:r>
        <w:rPr>
          <w:sz w:val="18"/>
        </w:rPr>
        <w:t>, Liturgical Press, Collegeville, MN.</w:t>
      </w:r>
    </w:p>
    <w:p w14:paraId="7CE68078" w14:textId="77777777" w:rsidR="00D16156" w:rsidRDefault="00D16156" w:rsidP="00D16156">
      <w:pPr>
        <w:ind w:left="283" w:hanging="283"/>
      </w:pPr>
      <w:r>
        <w:rPr>
          <w:sz w:val="18"/>
        </w:rPr>
        <w:t xml:space="preserve">Musurillo H., ed. and trans. (1972), </w:t>
      </w:r>
      <w:r>
        <w:rPr>
          <w:i/>
          <w:sz w:val="18"/>
        </w:rPr>
        <w:t>The Acts of the Christian Martyrs</w:t>
      </w:r>
      <w:r>
        <w:rPr>
          <w:sz w:val="18"/>
        </w:rPr>
        <w:t>, Oxford University Press, Oxford.</w:t>
      </w:r>
    </w:p>
    <w:p w14:paraId="31DB72E1" w14:textId="77777777" w:rsidR="00D16156" w:rsidRDefault="00D16156" w:rsidP="00D16156">
      <w:pPr>
        <w:ind w:left="283" w:hanging="283"/>
      </w:pPr>
      <w:r>
        <w:rPr>
          <w:sz w:val="18"/>
        </w:rPr>
        <w:t xml:space="preserve">Plato (1902), </w:t>
      </w:r>
      <w:r>
        <w:rPr>
          <w:i/>
          <w:sz w:val="18"/>
        </w:rPr>
        <w:t>Platonis Opera</w:t>
      </w:r>
      <w:r>
        <w:rPr>
          <w:sz w:val="18"/>
        </w:rPr>
        <w:t>, vol. IV, ed. J. Burnet, Clarendon Press, Oxford.</w:t>
      </w:r>
    </w:p>
    <w:p w14:paraId="4AD3022C" w14:textId="77777777" w:rsidR="00D16156" w:rsidRDefault="00D16156" w:rsidP="00D16156">
      <w:pPr>
        <w:ind w:left="283" w:hanging="283"/>
      </w:pPr>
      <w:r>
        <w:rPr>
          <w:sz w:val="18"/>
        </w:rPr>
        <w:t xml:space="preserve">Reynolds L.D., ed. (1977), </w:t>
      </w:r>
      <w:r>
        <w:rPr>
          <w:i/>
          <w:sz w:val="18"/>
        </w:rPr>
        <w:t>L. Annaei Senecae Dialogorum libri duodecim</w:t>
      </w:r>
      <w:r>
        <w:rPr>
          <w:sz w:val="18"/>
        </w:rPr>
        <w:t>, Oxford Classical Texts, Clarendon Press, Oxford.</w:t>
      </w:r>
    </w:p>
    <w:p w14:paraId="1C07230F" w14:textId="77777777" w:rsidR="00D16156" w:rsidRDefault="00D16156" w:rsidP="00D16156">
      <w:pPr>
        <w:ind w:left="283" w:hanging="283"/>
      </w:pPr>
      <w:r>
        <w:rPr>
          <w:sz w:val="18"/>
        </w:rPr>
        <w:t xml:space="preserve">The Holy Bible (2016), </w:t>
      </w:r>
      <w:r>
        <w:rPr>
          <w:i/>
          <w:sz w:val="18"/>
        </w:rPr>
        <w:t>English Standard Version</w:t>
      </w:r>
      <w:r>
        <w:rPr>
          <w:sz w:val="18"/>
        </w:rPr>
        <w:t>, Crossway, Wheaton, IL.</w:t>
      </w:r>
    </w:p>
    <w:p w14:paraId="58D8BE74" w14:textId="77777777" w:rsidR="00D16156" w:rsidRDefault="00D16156" w:rsidP="00D16156">
      <w:pPr>
        <w:ind w:left="283" w:hanging="283"/>
      </w:pPr>
      <w:r>
        <w:rPr>
          <w:sz w:val="18"/>
        </w:rPr>
        <w:t xml:space="preserve">Tertullian (1954), </w:t>
      </w:r>
      <w:r>
        <w:rPr>
          <w:i/>
          <w:sz w:val="18"/>
        </w:rPr>
        <w:t>Quinti Septimi Florentis Tertulliani Opera, Pars I: Opera catholica</w:t>
      </w:r>
      <w:r>
        <w:rPr>
          <w:sz w:val="18"/>
        </w:rPr>
        <w:t>, Corpus Christianorum Series Latina 1, Brepols, Turnhout.</w:t>
      </w:r>
    </w:p>
    <w:p w14:paraId="0E0F5756" w14:textId="77777777" w:rsidR="00D16156" w:rsidRDefault="00D16156" w:rsidP="00D16156">
      <w:pPr>
        <w:ind w:left="283" w:hanging="283"/>
      </w:pPr>
      <w:r>
        <w:rPr>
          <w:sz w:val="18"/>
        </w:rPr>
        <w:t xml:space="preserve">Vogüé A. de and Neufville J., eds. (1971-1972), </w:t>
      </w:r>
      <w:r>
        <w:rPr>
          <w:i/>
          <w:sz w:val="18"/>
        </w:rPr>
        <w:t>La Règle de saint Benoît</w:t>
      </w:r>
      <w:r>
        <w:rPr>
          <w:sz w:val="18"/>
        </w:rPr>
        <w:t>, 6 vols., Sources Chrétiennes 181-186, Cerf, Paris.</w:t>
      </w:r>
    </w:p>
    <w:p w14:paraId="7D9646FE" w14:textId="77777777" w:rsidR="00D16156" w:rsidRDefault="00D16156" w:rsidP="00D16156">
      <w:pPr>
        <w:spacing w:before="552" w:after="276"/>
      </w:pPr>
      <w:r>
        <w:rPr>
          <w:rFonts w:ascii="Arial" w:eastAsia="Arial" w:hAnsi="Arial"/>
          <w:b/>
          <w:i/>
        </w:rPr>
        <w:t>Studies</w:t>
      </w:r>
    </w:p>
    <w:p w14:paraId="092E8CCA" w14:textId="77777777" w:rsidR="00D16156" w:rsidRDefault="00D16156" w:rsidP="00D16156">
      <w:pPr>
        <w:ind w:left="283" w:hanging="283"/>
      </w:pPr>
      <w:r>
        <w:rPr>
          <w:sz w:val="18"/>
        </w:rPr>
        <w:t xml:space="preserve">Bisogno A. (2025), </w:t>
      </w:r>
      <w:r>
        <w:rPr>
          <w:i/>
          <w:sz w:val="18"/>
        </w:rPr>
        <w:t>Ermenetica. Il sapere umanistico come esercizio di responsabilità</w:t>
      </w:r>
      <w:r>
        <w:rPr>
          <w:sz w:val="18"/>
        </w:rPr>
        <w:t>, Zenodo, doi: 10.5281/zenodo.17997307.</w:t>
      </w:r>
    </w:p>
    <w:p w14:paraId="59DBE74A" w14:textId="77777777" w:rsidR="00D16156" w:rsidRDefault="00D16156" w:rsidP="00D16156">
      <w:pPr>
        <w:ind w:left="283" w:hanging="283"/>
      </w:pPr>
      <w:r>
        <w:rPr>
          <w:sz w:val="18"/>
        </w:rPr>
        <w:t xml:space="preserve">Broneer O. (1962), “The Apostle Paul and the Isthmian Games”, </w:t>
      </w:r>
      <w:r>
        <w:rPr>
          <w:i/>
          <w:sz w:val="18"/>
        </w:rPr>
        <w:t>The Biblical Archaeologist</w:t>
      </w:r>
      <w:r>
        <w:rPr>
          <w:sz w:val="18"/>
        </w:rPr>
        <w:t>, 25, 1: 2-31.</w:t>
      </w:r>
    </w:p>
    <w:p w14:paraId="6444EDC7" w14:textId="77777777" w:rsidR="00D16156" w:rsidRDefault="00D16156" w:rsidP="00D16156">
      <w:pPr>
        <w:ind w:left="283" w:hanging="283"/>
      </w:pPr>
      <w:r>
        <w:rPr>
          <w:sz w:val="18"/>
        </w:rPr>
        <w:t xml:space="preserve">Brown P. (1988), </w:t>
      </w:r>
      <w:r>
        <w:rPr>
          <w:i/>
          <w:sz w:val="18"/>
        </w:rPr>
        <w:t>The Body and Society. Men, Women, and Sexual Renunciation in Early Christianity</w:t>
      </w:r>
      <w:r>
        <w:rPr>
          <w:sz w:val="18"/>
        </w:rPr>
        <w:t>, Columbia University Press, New York.</w:t>
      </w:r>
    </w:p>
    <w:p w14:paraId="4362DAB6" w14:textId="77777777" w:rsidR="00D16156" w:rsidRDefault="00D16156" w:rsidP="00D16156">
      <w:pPr>
        <w:ind w:left="283" w:hanging="283"/>
      </w:pPr>
      <w:r>
        <w:rPr>
          <w:sz w:val="18"/>
        </w:rPr>
        <w:t xml:space="preserve">Burnyeat M.F. (1980), “Aristotle on Learning to Be Good”, in Rorty A.O., ed., </w:t>
      </w:r>
      <w:r>
        <w:rPr>
          <w:i/>
          <w:sz w:val="18"/>
        </w:rPr>
        <w:t>Essays on Aristotle’s Ethics</w:t>
      </w:r>
      <w:r>
        <w:rPr>
          <w:sz w:val="18"/>
        </w:rPr>
        <w:t>, University of California Press, Berkeley: 69-92.</w:t>
      </w:r>
    </w:p>
    <w:p w14:paraId="426D55C7" w14:textId="77777777" w:rsidR="00D16156" w:rsidRDefault="00D16156" w:rsidP="00D16156">
      <w:pPr>
        <w:ind w:left="283" w:hanging="283"/>
      </w:pPr>
      <w:r>
        <w:rPr>
          <w:sz w:val="18"/>
        </w:rPr>
        <w:t xml:space="preserve">Foucault M. (2001), </w:t>
      </w:r>
      <w:r>
        <w:rPr>
          <w:i/>
          <w:sz w:val="18"/>
        </w:rPr>
        <w:t>L’herméneutique du sujet. Cours au Collège de France (1981-1982)</w:t>
      </w:r>
      <w:r>
        <w:rPr>
          <w:sz w:val="18"/>
        </w:rPr>
        <w:t xml:space="preserve">, ed. F. Gros, Gallimard-Seuil, Paris (Engl. trans.: </w:t>
      </w:r>
      <w:r>
        <w:rPr>
          <w:i/>
          <w:sz w:val="18"/>
        </w:rPr>
        <w:t>The Hermeneutics of the Subject</w:t>
      </w:r>
      <w:r>
        <w:rPr>
          <w:sz w:val="18"/>
        </w:rPr>
        <w:t>, trans. G. Burchell, Palgrave Macmillan, New York, 2005).</w:t>
      </w:r>
    </w:p>
    <w:p w14:paraId="77808F14" w14:textId="77777777" w:rsidR="00D16156" w:rsidRDefault="00D16156" w:rsidP="00D16156">
      <w:pPr>
        <w:ind w:left="283" w:hanging="283"/>
      </w:pPr>
      <w:r>
        <w:rPr>
          <w:sz w:val="18"/>
        </w:rPr>
        <w:t xml:space="preserve">Hadot P. (1981), </w:t>
      </w:r>
      <w:r>
        <w:rPr>
          <w:i/>
          <w:sz w:val="18"/>
        </w:rPr>
        <w:t>Exercices spirituels et philosophie antique</w:t>
      </w:r>
      <w:r>
        <w:rPr>
          <w:sz w:val="18"/>
        </w:rPr>
        <w:t xml:space="preserve">, Études Augustiniennes, Paris </w:t>
      </w:r>
      <w:r>
        <w:rPr>
          <w:sz w:val="18"/>
        </w:rPr>
        <w:lastRenderedPageBreak/>
        <w:t xml:space="preserve">(Engl. trans.: </w:t>
      </w:r>
      <w:r>
        <w:rPr>
          <w:i/>
          <w:sz w:val="18"/>
        </w:rPr>
        <w:t>Philosophy as a Way of Life. Spiritual Exercises from Socrates to Foucault</w:t>
      </w:r>
      <w:r>
        <w:rPr>
          <w:sz w:val="18"/>
        </w:rPr>
        <w:t>, ed. A.I. Davidson, trans. M. Chase, Blackwell, Oxford, 1995).</w:t>
      </w:r>
    </w:p>
    <w:p w14:paraId="19FDDFAA" w14:textId="77777777" w:rsidR="00D16156" w:rsidRDefault="00D16156" w:rsidP="00D16156">
      <w:pPr>
        <w:ind w:left="283" w:hanging="283"/>
      </w:pPr>
      <w:r>
        <w:rPr>
          <w:sz w:val="18"/>
        </w:rPr>
        <w:t xml:space="preserve">Harpham G.G. (1987), </w:t>
      </w:r>
      <w:r>
        <w:rPr>
          <w:i/>
          <w:sz w:val="18"/>
        </w:rPr>
        <w:t>The Ascetic Imperative in Culture and Criticism</w:t>
      </w:r>
      <w:r>
        <w:rPr>
          <w:sz w:val="18"/>
        </w:rPr>
        <w:t>, University of Chicago Press, Chicago.</w:t>
      </w:r>
    </w:p>
    <w:p w14:paraId="3B7A37BA" w14:textId="77777777" w:rsidR="00D16156" w:rsidRDefault="00D16156" w:rsidP="00D16156">
      <w:pPr>
        <w:ind w:left="283" w:hanging="283"/>
      </w:pPr>
      <w:r>
        <w:rPr>
          <w:sz w:val="18"/>
        </w:rPr>
        <w:t xml:space="preserve">Kardong T.G. (1996), </w:t>
      </w:r>
      <w:r>
        <w:rPr>
          <w:i/>
          <w:sz w:val="18"/>
        </w:rPr>
        <w:t>Benedict’s Rule. A Translation and Commentary</w:t>
      </w:r>
      <w:r>
        <w:rPr>
          <w:sz w:val="18"/>
        </w:rPr>
        <w:t>, Liturgical Press, Collegeville, MN.</w:t>
      </w:r>
    </w:p>
    <w:p w14:paraId="5AB8B289" w14:textId="77777777" w:rsidR="00D16156" w:rsidRDefault="00D16156" w:rsidP="00D16156">
      <w:pPr>
        <w:ind w:left="283" w:hanging="283"/>
      </w:pPr>
      <w:r>
        <w:rPr>
          <w:sz w:val="18"/>
        </w:rPr>
        <w:t xml:space="preserve">König J. (2005), </w:t>
      </w:r>
      <w:r>
        <w:rPr>
          <w:i/>
          <w:sz w:val="18"/>
        </w:rPr>
        <w:t>Athletics and Literature in the Roman Empire</w:t>
      </w:r>
      <w:r>
        <w:rPr>
          <w:sz w:val="18"/>
        </w:rPr>
        <w:t>, Cambridge University Press, Cambridge.</w:t>
      </w:r>
    </w:p>
    <w:p w14:paraId="7AA6150C" w14:textId="77777777" w:rsidR="00D16156" w:rsidRDefault="00D16156" w:rsidP="00D16156">
      <w:pPr>
        <w:ind w:left="283" w:hanging="283"/>
      </w:pPr>
      <w:r>
        <w:rPr>
          <w:sz w:val="18"/>
        </w:rPr>
        <w:t xml:space="preserve">Leclercq J. (1957), </w:t>
      </w:r>
      <w:r>
        <w:rPr>
          <w:i/>
          <w:sz w:val="18"/>
        </w:rPr>
        <w:t>L’amour des lettres et le désir de Dieu. Initiation aux auteurs monastiques du Moyen Âge</w:t>
      </w:r>
      <w:r>
        <w:rPr>
          <w:sz w:val="18"/>
        </w:rPr>
        <w:t xml:space="preserve">, Cerf, Paris (Engl. trans.: </w:t>
      </w:r>
      <w:r>
        <w:rPr>
          <w:i/>
          <w:sz w:val="18"/>
        </w:rPr>
        <w:t>The Love of Learning and the Desire for God</w:t>
      </w:r>
      <w:r>
        <w:rPr>
          <w:sz w:val="18"/>
        </w:rPr>
        <w:t>, trans. C. Misrahi, Fordham University Press, New York, 1961).</w:t>
      </w:r>
    </w:p>
    <w:p w14:paraId="5082610C" w14:textId="77777777" w:rsidR="00D16156" w:rsidRDefault="00D16156" w:rsidP="00D16156">
      <w:pPr>
        <w:ind w:left="283" w:hanging="283"/>
      </w:pPr>
      <w:r>
        <w:rPr>
          <w:sz w:val="18"/>
        </w:rPr>
        <w:t xml:space="preserve">Leyser C. (2000), </w:t>
      </w:r>
      <w:r>
        <w:rPr>
          <w:i/>
          <w:sz w:val="18"/>
        </w:rPr>
        <w:t>Authority and Asceticism from Augustine to Gregory the Great</w:t>
      </w:r>
      <w:r>
        <w:rPr>
          <w:sz w:val="18"/>
        </w:rPr>
        <w:t>, Clarendon Press, Oxford.</w:t>
      </w:r>
    </w:p>
    <w:p w14:paraId="34D1F495" w14:textId="77777777" w:rsidR="00D16156" w:rsidRDefault="00D16156" w:rsidP="00D16156">
      <w:pPr>
        <w:ind w:left="283" w:hanging="283"/>
      </w:pPr>
      <w:r>
        <w:rPr>
          <w:sz w:val="18"/>
        </w:rPr>
        <w:t xml:space="preserve">Markus R.A. (1997), </w:t>
      </w:r>
      <w:r>
        <w:rPr>
          <w:i/>
          <w:sz w:val="18"/>
        </w:rPr>
        <w:t>Gregory the Great and His World</w:t>
      </w:r>
      <w:r>
        <w:rPr>
          <w:sz w:val="18"/>
        </w:rPr>
        <w:t>, Cambridge University Press, Cambridge.</w:t>
      </w:r>
    </w:p>
    <w:p w14:paraId="75A0CF31" w14:textId="77777777" w:rsidR="00D16156" w:rsidRDefault="00D16156" w:rsidP="00D16156">
      <w:pPr>
        <w:ind w:left="283" w:hanging="283"/>
      </w:pPr>
      <w:r>
        <w:rPr>
          <w:sz w:val="18"/>
        </w:rPr>
        <w:t xml:space="preserve">Pfitzner V.C. (1967), </w:t>
      </w:r>
      <w:r>
        <w:rPr>
          <w:i/>
          <w:sz w:val="18"/>
        </w:rPr>
        <w:t>Paul and the Agon Motif. Traditional Athletic Imagery in the Pauline Literature</w:t>
      </w:r>
      <w:r>
        <w:rPr>
          <w:sz w:val="18"/>
        </w:rPr>
        <w:t>, Supplements to Novum Testamentum 16, Brill, Leiden.</w:t>
      </w:r>
    </w:p>
    <w:p w14:paraId="35398D8D" w14:textId="77777777" w:rsidR="00D16156" w:rsidRDefault="00D16156" w:rsidP="00D16156">
      <w:pPr>
        <w:ind w:left="283" w:hanging="283"/>
      </w:pPr>
      <w:r>
        <w:rPr>
          <w:sz w:val="18"/>
        </w:rPr>
        <w:t xml:space="preserve">Poplutz U. (2004), </w:t>
      </w:r>
      <w:r>
        <w:rPr>
          <w:i/>
          <w:sz w:val="18"/>
        </w:rPr>
        <w:t>Athlet des Evangeliums. Eine motivgeschichtliche Studie zur Wettkampfmetaphorik bei Paulus</w:t>
      </w:r>
      <w:r>
        <w:rPr>
          <w:sz w:val="18"/>
        </w:rPr>
        <w:t>, Herders Biblische Studien 43, Herder, Freiburg im Breisgau.</w:t>
      </w:r>
    </w:p>
    <w:p w14:paraId="7BF832B6" w14:textId="77777777" w:rsidR="00D16156" w:rsidRDefault="00D16156" w:rsidP="00D16156">
      <w:pPr>
        <w:ind w:left="283" w:hanging="283"/>
      </w:pPr>
      <w:r>
        <w:rPr>
          <w:sz w:val="18"/>
        </w:rPr>
        <w:t xml:space="preserve">Shaw B.D. (1996), “Body/Power/Identity: Passions of the Martyrs”, </w:t>
      </w:r>
      <w:r>
        <w:rPr>
          <w:i/>
          <w:sz w:val="18"/>
        </w:rPr>
        <w:t>Journal of Early Christian Studies</w:t>
      </w:r>
      <w:r>
        <w:rPr>
          <w:sz w:val="18"/>
        </w:rPr>
        <w:t>, 4, 3: 269-312.</w:t>
      </w:r>
    </w:p>
    <w:p w14:paraId="7BBE5DCF" w14:textId="77777777" w:rsidR="00D16156" w:rsidRDefault="00D16156" w:rsidP="00D16156">
      <w:pPr>
        <w:ind w:left="283" w:hanging="283"/>
      </w:pPr>
      <w:r>
        <w:rPr>
          <w:sz w:val="18"/>
        </w:rPr>
        <w:t xml:space="preserve">Sloterdijk P. (2009), </w:t>
      </w:r>
      <w:r>
        <w:rPr>
          <w:i/>
          <w:sz w:val="18"/>
        </w:rPr>
        <w:t>Du mußt dein Leben ändern. Über Anthropotechnik</w:t>
      </w:r>
      <w:r>
        <w:rPr>
          <w:sz w:val="18"/>
        </w:rPr>
        <w:t xml:space="preserve">, Suhrkamp, Frankfurt </w:t>
      </w:r>
      <w:proofErr w:type="gramStart"/>
      <w:r>
        <w:rPr>
          <w:sz w:val="18"/>
        </w:rPr>
        <w:t>am</w:t>
      </w:r>
      <w:proofErr w:type="gramEnd"/>
      <w:r>
        <w:rPr>
          <w:sz w:val="18"/>
        </w:rPr>
        <w:t xml:space="preserve"> Main (Engl. trans.: </w:t>
      </w:r>
      <w:r>
        <w:rPr>
          <w:i/>
          <w:sz w:val="18"/>
        </w:rPr>
        <w:t>You Must Change Your Life. On Anthropotechnics</w:t>
      </w:r>
      <w:r>
        <w:rPr>
          <w:sz w:val="18"/>
        </w:rPr>
        <w:t>, trans. W. Hoban, Polity, Cambridge, 2013).</w:t>
      </w:r>
    </w:p>
    <w:p w14:paraId="5121CB67" w14:textId="77777777" w:rsidR="00D16156" w:rsidRDefault="00D16156" w:rsidP="00D16156">
      <w:pPr>
        <w:ind w:left="283" w:hanging="283"/>
      </w:pPr>
      <w:r>
        <w:rPr>
          <w:sz w:val="18"/>
        </w:rPr>
        <w:t xml:space="preserve">Straw C. (1988), </w:t>
      </w:r>
      <w:r>
        <w:rPr>
          <w:i/>
          <w:sz w:val="18"/>
        </w:rPr>
        <w:t>Gregory the Great. Perfection in Imperfection</w:t>
      </w:r>
      <w:r>
        <w:rPr>
          <w:sz w:val="18"/>
        </w:rPr>
        <w:t>, University of California Press, Berkeley.</w:t>
      </w:r>
    </w:p>
    <w:p w14:paraId="18851C57" w14:textId="77777777" w:rsidR="00D16156" w:rsidRDefault="00D16156" w:rsidP="00D16156">
      <w:pPr>
        <w:ind w:left="283" w:hanging="283"/>
      </w:pPr>
      <w:r>
        <w:rPr>
          <w:sz w:val="18"/>
        </w:rPr>
        <w:t xml:space="preserve">Valantasis R. (1995), “Constructions of Power in Asceticism”, </w:t>
      </w:r>
      <w:r>
        <w:rPr>
          <w:i/>
          <w:sz w:val="18"/>
        </w:rPr>
        <w:t>Journal of the American Academy of Religion</w:t>
      </w:r>
      <w:r>
        <w:rPr>
          <w:sz w:val="18"/>
        </w:rPr>
        <w:t>, 63, 4: 775-821.</w:t>
      </w:r>
    </w:p>
    <w:p w14:paraId="459CFAFD" w14:textId="77777777" w:rsidR="00D16156" w:rsidRDefault="00D16156" w:rsidP="00D16156">
      <w:pPr>
        <w:ind w:left="283" w:hanging="283"/>
      </w:pPr>
      <w:r>
        <w:rPr>
          <w:sz w:val="18"/>
        </w:rPr>
        <w:t xml:space="preserve">Wimbush V.L. and Valantasis R., eds. (1995), </w:t>
      </w:r>
      <w:r>
        <w:rPr>
          <w:i/>
          <w:sz w:val="18"/>
        </w:rPr>
        <w:t>Asceticism</w:t>
      </w:r>
      <w:r>
        <w:rPr>
          <w:sz w:val="18"/>
        </w:rPr>
        <w:t>, Oxford University Press, New York.</w:t>
      </w:r>
    </w:p>
    <w:p w14:paraId="76D0D302" w14:textId="3F5C6B71" w:rsidR="00D0529E" w:rsidRDefault="00D0529E" w:rsidP="00D16156">
      <w:pPr>
        <w:keepNext/>
        <w:spacing w:before="552" w:after="276"/>
      </w:pPr>
    </w:p>
    <w:sectPr w:rsidR="00D0529E">
      <w:footerReference w:type="default" r:id="rId6"/>
      <w:footnotePr>
        <w:numRestart w:val="eachSect"/>
      </w:footnotePr>
      <w:pgSz w:w="11906" w:h="16838"/>
      <w:pgMar w:top="2835" w:right="2608" w:bottom="3515" w:left="2608" w:header="0" w:footer="2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60B27F" w14:textId="77777777" w:rsidR="003A4419" w:rsidRDefault="003A4419">
      <w:r>
        <w:separator/>
      </w:r>
    </w:p>
  </w:endnote>
  <w:endnote w:type="continuationSeparator" w:id="0">
    <w:p w14:paraId="58402803" w14:textId="77777777" w:rsidR="003A4419" w:rsidRDefault="003A4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B6B91C" w14:textId="77777777" w:rsidR="00D0529E" w:rsidRDefault="00000000">
    <w:pPr>
      <w:jc w:val="center"/>
    </w:pPr>
    <w:r>
      <w:rPr>
        <w:i/>
        <w:sz w:val="20"/>
        <w:szCs w:val="20"/>
      </w:rPr>
      <w:fldChar w:fldCharType="begin"/>
    </w:r>
    <w:r>
      <w:rPr>
        <w:i/>
        <w:sz w:val="20"/>
        <w:szCs w:val="20"/>
      </w:rPr>
      <w:instrText xml:space="preserve"> PAGE </w:instrText>
    </w:r>
    <w:r>
      <w:rPr>
        <w:i/>
        <w:sz w:val="20"/>
        <w:szCs w:val="20"/>
      </w:rPr>
      <w:fldChar w:fldCharType="separate"/>
    </w:r>
    <w:r>
      <w:rPr>
        <w:i/>
        <w:sz w:val="20"/>
        <w:szCs w:val="20"/>
      </w:rPr>
      <w:t>1</w:t>
    </w:r>
    <w:r>
      <w:rPr>
        <w: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4C601D" w14:textId="77777777" w:rsidR="003A4419" w:rsidRDefault="003A4419"/>
  </w:footnote>
  <w:footnote w:type="continuationSeparator" w:id="0">
    <w:p w14:paraId="343BD76F" w14:textId="77777777" w:rsidR="003A4419" w:rsidRDefault="003A4419"/>
  </w:footnote>
  <w:footnote w:id="1">
    <w:p w14:paraId="47CC6C4F" w14:textId="77777777" w:rsidR="00D0529E" w:rsidRDefault="00000000">
      <w:pPr>
        <w:ind w:firstLine="283"/>
        <w:jc w:val="both"/>
      </w:pPr>
      <w:r>
        <w:rPr>
          <w:sz w:val="16"/>
          <w:vertAlign w:val="superscript"/>
        </w:rPr>
        <w:footnoteRef/>
      </w:r>
      <w:r>
        <w:rPr>
          <w:sz w:val="18"/>
          <w:szCs w:val="18"/>
        </w:rPr>
        <w:t xml:space="preserve"> On the athletic and technical origin of </w:t>
      </w:r>
      <w:r>
        <w:rPr>
          <w:i/>
          <w:sz w:val="18"/>
          <w:szCs w:val="18"/>
        </w:rPr>
        <w:t>askēsis</w:t>
      </w:r>
      <w:r>
        <w:rPr>
          <w:sz w:val="18"/>
          <w:szCs w:val="18"/>
        </w:rPr>
        <w:t xml:space="preserve"> and its transformation into a practice of the self, see Hadot (1981) and Foucault (2001), especially the later lectures of the course; for a broader, and deliberately provocative, reading of the history of culture as a history of exercise, Sloterdijk (2009).</w:t>
      </w:r>
    </w:p>
  </w:footnote>
  <w:footnote w:id="2">
    <w:p w14:paraId="0863F1C9" w14:textId="77777777" w:rsidR="00D0529E" w:rsidRDefault="00000000">
      <w:pPr>
        <w:ind w:firstLine="283"/>
        <w:jc w:val="both"/>
      </w:pPr>
      <w:r>
        <w:rPr>
          <w:sz w:val="16"/>
          <w:vertAlign w:val="superscript"/>
        </w:rPr>
        <w:footnoteRef/>
      </w:r>
      <w:r>
        <w:rPr>
          <w:sz w:val="18"/>
          <w:szCs w:val="18"/>
        </w:rPr>
        <w:t xml:space="preserve"> Pfitzner (1967) remains the fundamental study; Poplutz (2004) has reconsidered the whole dossier within a history of the motif. For the place of athletics in the literature of the Roman Empire, König (2005).</w:t>
      </w:r>
    </w:p>
  </w:footnote>
  <w:footnote w:id="3">
    <w:p w14:paraId="7D3F72C0" w14:textId="77777777" w:rsidR="00D0529E" w:rsidRDefault="00000000">
      <w:pPr>
        <w:ind w:firstLine="283"/>
        <w:jc w:val="both"/>
      </w:pPr>
      <w:r>
        <w:rPr>
          <w:sz w:val="16"/>
          <w:vertAlign w:val="superscript"/>
        </w:rPr>
        <w:footnoteRef/>
      </w:r>
      <w:r>
        <w:rPr>
          <w:sz w:val="18"/>
          <w:szCs w:val="18"/>
        </w:rPr>
        <w:t xml:space="preserve"> Plato, </w:t>
      </w:r>
      <w:r>
        <w:rPr>
          <w:i/>
          <w:sz w:val="18"/>
          <w:szCs w:val="18"/>
        </w:rPr>
        <w:t>Gorgias</w:t>
      </w:r>
      <w:r>
        <w:rPr>
          <w:sz w:val="18"/>
          <w:szCs w:val="18"/>
        </w:rPr>
        <w:t xml:space="preserve"> 464b-465c. On the structure of the passage and its place in the dialogue, see the commentary of Dodds (1959).</w:t>
      </w:r>
    </w:p>
  </w:footnote>
  <w:footnote w:id="4">
    <w:p w14:paraId="06221B93" w14:textId="77777777" w:rsidR="00D0529E" w:rsidRDefault="00000000">
      <w:pPr>
        <w:ind w:firstLine="283"/>
        <w:jc w:val="both"/>
      </w:pPr>
      <w:r>
        <w:rPr>
          <w:sz w:val="16"/>
          <w:vertAlign w:val="superscript"/>
        </w:rPr>
        <w:footnoteRef/>
      </w:r>
      <w:r>
        <w:rPr>
          <w:sz w:val="18"/>
          <w:szCs w:val="18"/>
        </w:rPr>
        <w:t xml:space="preserve"> Plato, </w:t>
      </w:r>
      <w:r>
        <w:rPr>
          <w:i/>
          <w:sz w:val="18"/>
          <w:szCs w:val="18"/>
        </w:rPr>
        <w:t>Gorgias</w:t>
      </w:r>
      <w:r>
        <w:rPr>
          <w:sz w:val="18"/>
          <w:szCs w:val="18"/>
        </w:rPr>
        <w:t xml:space="preserve"> 465b-c. Unless otherwise indicated, translations from Greek and Latin are my own.</w:t>
      </w:r>
    </w:p>
  </w:footnote>
  <w:footnote w:id="5">
    <w:p w14:paraId="65889890" w14:textId="77777777" w:rsidR="00D0529E" w:rsidRDefault="00000000">
      <w:pPr>
        <w:ind w:firstLine="283"/>
        <w:jc w:val="both"/>
      </w:pPr>
      <w:r>
        <w:rPr>
          <w:sz w:val="16"/>
          <w:vertAlign w:val="superscript"/>
        </w:rPr>
        <w:footnoteRef/>
      </w:r>
      <w:r>
        <w:rPr>
          <w:sz w:val="18"/>
          <w:szCs w:val="18"/>
        </w:rPr>
        <w:t xml:space="preserve"> Plato, </w:t>
      </w:r>
      <w:r>
        <w:rPr>
          <w:i/>
          <w:sz w:val="18"/>
          <w:szCs w:val="18"/>
        </w:rPr>
        <w:t>Republic</w:t>
      </w:r>
      <w:r>
        <w:rPr>
          <w:sz w:val="18"/>
          <w:szCs w:val="18"/>
        </w:rPr>
        <w:t xml:space="preserve"> III 410b-c.</w:t>
      </w:r>
    </w:p>
  </w:footnote>
  <w:footnote w:id="6">
    <w:p w14:paraId="4451B510" w14:textId="77777777" w:rsidR="00D0529E" w:rsidRDefault="00000000">
      <w:pPr>
        <w:ind w:firstLine="283"/>
        <w:jc w:val="both"/>
      </w:pPr>
      <w:r>
        <w:rPr>
          <w:sz w:val="16"/>
          <w:vertAlign w:val="superscript"/>
        </w:rPr>
        <w:footnoteRef/>
      </w:r>
      <w:r>
        <w:rPr>
          <w:sz w:val="18"/>
          <w:szCs w:val="18"/>
        </w:rPr>
        <w:t xml:space="preserve"> Aristotle, </w:t>
      </w:r>
      <w:r>
        <w:rPr>
          <w:i/>
          <w:sz w:val="18"/>
          <w:szCs w:val="18"/>
        </w:rPr>
        <w:t>Nicomachean Ethics</w:t>
      </w:r>
      <w:r>
        <w:rPr>
          <w:sz w:val="18"/>
          <w:szCs w:val="18"/>
        </w:rPr>
        <w:t xml:space="preserve"> II 2, 1104a15-19, trans. Ross, rev. Brown, in Aristotle (2009).</w:t>
      </w:r>
    </w:p>
  </w:footnote>
  <w:footnote w:id="7">
    <w:p w14:paraId="0D9BFE1B" w14:textId="77777777" w:rsidR="00D0529E" w:rsidRDefault="00000000">
      <w:pPr>
        <w:ind w:firstLine="283"/>
        <w:jc w:val="both"/>
      </w:pPr>
      <w:r>
        <w:rPr>
          <w:sz w:val="16"/>
          <w:vertAlign w:val="superscript"/>
        </w:rPr>
        <w:footnoteRef/>
      </w:r>
      <w:r>
        <w:rPr>
          <w:sz w:val="18"/>
          <w:szCs w:val="18"/>
        </w:rPr>
        <w:t xml:space="preserve"> </w:t>
      </w:r>
      <w:r>
        <w:rPr>
          <w:i/>
          <w:sz w:val="18"/>
          <w:szCs w:val="18"/>
        </w:rPr>
        <w:t>Ibid.</w:t>
      </w:r>
      <w:r>
        <w:rPr>
          <w:sz w:val="18"/>
          <w:szCs w:val="18"/>
        </w:rPr>
        <w:t xml:space="preserve"> II 1, 1103a31-b2. On the role of habituation in Aristotelian moral education, and on the </w:t>
      </w:r>
      <w:proofErr w:type="gramStart"/>
      <w:r>
        <w:rPr>
          <w:sz w:val="18"/>
          <w:szCs w:val="18"/>
        </w:rPr>
        <w:t>link</w:t>
      </w:r>
      <w:proofErr w:type="gramEnd"/>
      <w:r>
        <w:rPr>
          <w:sz w:val="18"/>
          <w:szCs w:val="18"/>
        </w:rPr>
        <w:t xml:space="preserve"> it establishes between doing and learning, Burnyeat (1980) remains an indispensable point of reference.</w:t>
      </w:r>
    </w:p>
  </w:footnote>
  <w:footnote w:id="8">
    <w:p w14:paraId="34701CBD" w14:textId="77777777" w:rsidR="00D0529E" w:rsidRDefault="00000000">
      <w:pPr>
        <w:ind w:firstLine="283"/>
        <w:jc w:val="both"/>
      </w:pPr>
      <w:r>
        <w:rPr>
          <w:sz w:val="16"/>
          <w:vertAlign w:val="superscript"/>
        </w:rPr>
        <w:footnoteRef/>
      </w:r>
      <w:r>
        <w:rPr>
          <w:sz w:val="18"/>
          <w:szCs w:val="18"/>
        </w:rPr>
        <w:t xml:space="preserve"> </w:t>
      </w:r>
      <w:r>
        <w:rPr>
          <w:i/>
          <w:sz w:val="18"/>
          <w:szCs w:val="18"/>
        </w:rPr>
        <w:t>Ibid.</w:t>
      </w:r>
      <w:r>
        <w:rPr>
          <w:sz w:val="18"/>
          <w:szCs w:val="18"/>
        </w:rPr>
        <w:t xml:space="preserve"> II 2, 1104a30-b3.</w:t>
      </w:r>
    </w:p>
  </w:footnote>
  <w:footnote w:id="9">
    <w:p w14:paraId="4C0B4AB6" w14:textId="77777777" w:rsidR="00D0529E" w:rsidRDefault="00000000">
      <w:pPr>
        <w:ind w:firstLine="283"/>
        <w:jc w:val="both"/>
      </w:pPr>
      <w:r>
        <w:rPr>
          <w:sz w:val="16"/>
          <w:vertAlign w:val="superscript"/>
        </w:rPr>
        <w:footnoteRef/>
      </w:r>
      <w:r>
        <w:rPr>
          <w:sz w:val="18"/>
          <w:szCs w:val="18"/>
        </w:rPr>
        <w:t xml:space="preserve"> </w:t>
      </w:r>
      <w:r>
        <w:rPr>
          <w:i/>
          <w:sz w:val="18"/>
          <w:szCs w:val="18"/>
        </w:rPr>
        <w:t>Ibid.</w:t>
      </w:r>
      <w:r>
        <w:rPr>
          <w:sz w:val="18"/>
          <w:szCs w:val="18"/>
        </w:rPr>
        <w:t xml:space="preserve"> II 6, 1106a36-b4.</w:t>
      </w:r>
    </w:p>
  </w:footnote>
  <w:footnote w:id="10">
    <w:p w14:paraId="683E0FF7" w14:textId="77777777" w:rsidR="00D0529E" w:rsidRDefault="00000000">
      <w:pPr>
        <w:ind w:firstLine="283"/>
        <w:jc w:val="both"/>
      </w:pPr>
      <w:r>
        <w:rPr>
          <w:sz w:val="16"/>
          <w:vertAlign w:val="superscript"/>
        </w:rPr>
        <w:footnoteRef/>
      </w:r>
      <w:r>
        <w:rPr>
          <w:sz w:val="18"/>
          <w:szCs w:val="18"/>
        </w:rPr>
        <w:t xml:space="preserve"> On the Isthmian games and the possible bearing of their proximity on Paul’s language and itinerary, Broneer (1962).</w:t>
      </w:r>
    </w:p>
  </w:footnote>
  <w:footnote w:id="11">
    <w:p w14:paraId="2FF76D7E" w14:textId="77777777" w:rsidR="00D0529E" w:rsidRDefault="00000000">
      <w:pPr>
        <w:ind w:firstLine="283"/>
        <w:jc w:val="both"/>
      </w:pPr>
      <w:r>
        <w:rPr>
          <w:sz w:val="16"/>
          <w:vertAlign w:val="superscript"/>
        </w:rPr>
        <w:footnoteRef/>
      </w:r>
      <w:r>
        <w:rPr>
          <w:sz w:val="18"/>
          <w:szCs w:val="18"/>
        </w:rPr>
        <w:t xml:space="preserve"> 1 Cor 9:24-27, in the English Standard Version.</w:t>
      </w:r>
    </w:p>
  </w:footnote>
  <w:footnote w:id="12">
    <w:p w14:paraId="423050CB" w14:textId="77777777" w:rsidR="00D0529E" w:rsidRDefault="00000000">
      <w:pPr>
        <w:ind w:firstLine="283"/>
        <w:jc w:val="both"/>
      </w:pPr>
      <w:r>
        <w:rPr>
          <w:sz w:val="16"/>
          <w:vertAlign w:val="superscript"/>
        </w:rPr>
        <w:footnoteRef/>
      </w:r>
      <w:r>
        <w:rPr>
          <w:sz w:val="18"/>
          <w:szCs w:val="18"/>
        </w:rPr>
        <w:t xml:space="preserve"> See Pfitzner (1967), whose reading of the </w:t>
      </w:r>
      <w:r>
        <w:rPr>
          <w:i/>
          <w:sz w:val="18"/>
          <w:szCs w:val="18"/>
        </w:rPr>
        <w:t>agōn</w:t>
      </w:r>
      <w:r>
        <w:rPr>
          <w:sz w:val="18"/>
          <w:szCs w:val="18"/>
        </w:rPr>
        <w:t xml:space="preserve"> motif as an image of apostolic labour rather than of individual moral achievement has largely set the terms of the discussion, and Poplutz (2004), who places the Pauline texts within the long history of ancient competitive imagery.</w:t>
      </w:r>
    </w:p>
  </w:footnote>
  <w:footnote w:id="13">
    <w:p w14:paraId="5298434D" w14:textId="77777777" w:rsidR="00D0529E" w:rsidRDefault="00000000">
      <w:pPr>
        <w:ind w:firstLine="283"/>
        <w:jc w:val="both"/>
      </w:pPr>
      <w:r>
        <w:rPr>
          <w:sz w:val="16"/>
          <w:vertAlign w:val="superscript"/>
        </w:rPr>
        <w:footnoteRef/>
      </w:r>
      <w:r>
        <w:rPr>
          <w:sz w:val="18"/>
          <w:szCs w:val="18"/>
        </w:rPr>
        <w:t xml:space="preserve"> Epictetus, </w:t>
      </w:r>
      <w:r>
        <w:rPr>
          <w:i/>
          <w:sz w:val="18"/>
          <w:szCs w:val="18"/>
        </w:rPr>
        <w:t>Dissertationes</w:t>
      </w:r>
      <w:r>
        <w:rPr>
          <w:sz w:val="18"/>
          <w:szCs w:val="18"/>
        </w:rPr>
        <w:t xml:space="preserve"> I 24, 1-2.</w:t>
      </w:r>
    </w:p>
  </w:footnote>
  <w:footnote w:id="14">
    <w:p w14:paraId="365ACCB8" w14:textId="77777777" w:rsidR="00D0529E" w:rsidRDefault="00000000">
      <w:pPr>
        <w:ind w:firstLine="283"/>
        <w:jc w:val="both"/>
      </w:pPr>
      <w:r>
        <w:rPr>
          <w:sz w:val="16"/>
          <w:vertAlign w:val="superscript"/>
        </w:rPr>
        <w:footnoteRef/>
      </w:r>
      <w:r>
        <w:rPr>
          <w:sz w:val="18"/>
          <w:szCs w:val="18"/>
        </w:rPr>
        <w:t xml:space="preserve"> Seneca, </w:t>
      </w:r>
      <w:r>
        <w:rPr>
          <w:i/>
          <w:sz w:val="18"/>
          <w:szCs w:val="18"/>
        </w:rPr>
        <w:t>De providentia</w:t>
      </w:r>
      <w:r>
        <w:rPr>
          <w:sz w:val="18"/>
          <w:szCs w:val="18"/>
        </w:rPr>
        <w:t xml:space="preserve"> 2, 3-4, where the discussion of athletes who seek out the strongest opponents leads to the formula «marcet sine adversario virtus».</w:t>
      </w:r>
    </w:p>
  </w:footnote>
  <w:footnote w:id="15">
    <w:p w14:paraId="546C9053" w14:textId="77777777" w:rsidR="00D0529E" w:rsidRDefault="00000000">
      <w:pPr>
        <w:ind w:firstLine="283"/>
        <w:jc w:val="both"/>
      </w:pPr>
      <w:r>
        <w:rPr>
          <w:sz w:val="16"/>
          <w:vertAlign w:val="superscript"/>
        </w:rPr>
        <w:footnoteRef/>
      </w:r>
      <w:r>
        <w:rPr>
          <w:sz w:val="18"/>
          <w:szCs w:val="18"/>
        </w:rPr>
        <w:t xml:space="preserve"> Tertullian, </w:t>
      </w:r>
      <w:r>
        <w:rPr>
          <w:i/>
          <w:sz w:val="18"/>
          <w:szCs w:val="18"/>
        </w:rPr>
        <w:t>Ad martyras</w:t>
      </w:r>
      <w:r>
        <w:rPr>
          <w:sz w:val="18"/>
          <w:szCs w:val="18"/>
        </w:rPr>
        <w:t xml:space="preserve"> 3, 3.</w:t>
      </w:r>
    </w:p>
  </w:footnote>
  <w:footnote w:id="16">
    <w:p w14:paraId="63E9A60E" w14:textId="77777777" w:rsidR="00D0529E" w:rsidRDefault="00000000">
      <w:pPr>
        <w:ind w:firstLine="283"/>
        <w:jc w:val="both"/>
      </w:pPr>
      <w:r>
        <w:rPr>
          <w:sz w:val="16"/>
          <w:vertAlign w:val="superscript"/>
        </w:rPr>
        <w:footnoteRef/>
      </w:r>
      <w:r>
        <w:rPr>
          <w:sz w:val="18"/>
          <w:szCs w:val="18"/>
        </w:rPr>
        <w:t xml:space="preserve"> </w:t>
      </w:r>
      <w:r>
        <w:rPr>
          <w:i/>
          <w:sz w:val="18"/>
          <w:szCs w:val="18"/>
        </w:rPr>
        <w:t>Passio Perpetuae et Felicitatis</w:t>
      </w:r>
      <w:r>
        <w:rPr>
          <w:sz w:val="18"/>
          <w:szCs w:val="18"/>
        </w:rPr>
        <w:t xml:space="preserve"> 10. On the martyr’s body as the place where power and identity were contested and redefined, see Shaw (1996).</w:t>
      </w:r>
    </w:p>
  </w:footnote>
  <w:footnote w:id="17">
    <w:p w14:paraId="15944220" w14:textId="77777777" w:rsidR="00D0529E" w:rsidRDefault="00000000">
      <w:pPr>
        <w:ind w:firstLine="283"/>
        <w:jc w:val="both"/>
      </w:pPr>
      <w:r>
        <w:rPr>
          <w:sz w:val="16"/>
          <w:vertAlign w:val="superscript"/>
        </w:rPr>
        <w:footnoteRef/>
      </w:r>
      <w:r>
        <w:rPr>
          <w:sz w:val="18"/>
          <w:szCs w:val="18"/>
        </w:rPr>
        <w:t xml:space="preserve"> Brown (1988). For a theoretical reading of asceticism as the construction of a new subject through the performance of practices, see Valantasis (1995) and the essays collected in Wimbush and Valantasis (1995); for the long cultural afterlife of the ascetic model, Harpham (1987).</w:t>
      </w:r>
    </w:p>
  </w:footnote>
  <w:footnote w:id="18">
    <w:p w14:paraId="73B993B3" w14:textId="77777777" w:rsidR="00D0529E" w:rsidRDefault="00000000">
      <w:pPr>
        <w:ind w:firstLine="283"/>
        <w:jc w:val="both"/>
      </w:pPr>
      <w:r>
        <w:rPr>
          <w:sz w:val="16"/>
          <w:vertAlign w:val="superscript"/>
        </w:rPr>
        <w:footnoteRef/>
      </w:r>
      <w:r>
        <w:rPr>
          <w:sz w:val="18"/>
          <w:szCs w:val="18"/>
        </w:rPr>
        <w:t xml:space="preserve"> Especially in the fifth book of the </w:t>
      </w:r>
      <w:r>
        <w:rPr>
          <w:i/>
          <w:sz w:val="18"/>
          <w:szCs w:val="18"/>
        </w:rPr>
        <w:t>Institutiones</w:t>
      </w:r>
      <w:r>
        <w:rPr>
          <w:sz w:val="18"/>
          <w:szCs w:val="18"/>
        </w:rPr>
        <w:t>, devoted to the spirit of gluttony.</w:t>
      </w:r>
    </w:p>
  </w:footnote>
  <w:footnote w:id="19">
    <w:p w14:paraId="31641E35" w14:textId="77777777" w:rsidR="00D0529E" w:rsidRDefault="00000000">
      <w:pPr>
        <w:ind w:firstLine="283"/>
        <w:jc w:val="both"/>
      </w:pPr>
      <w:r>
        <w:rPr>
          <w:sz w:val="16"/>
          <w:vertAlign w:val="superscript"/>
        </w:rPr>
        <w:footnoteRef/>
      </w:r>
      <w:r>
        <w:rPr>
          <w:sz w:val="18"/>
          <w:szCs w:val="18"/>
        </w:rPr>
        <w:t xml:space="preserve"> </w:t>
      </w:r>
      <w:r>
        <w:rPr>
          <w:i/>
          <w:sz w:val="18"/>
          <w:szCs w:val="18"/>
        </w:rPr>
        <w:t>Regula Benedicti</w:t>
      </w:r>
      <w:r>
        <w:rPr>
          <w:sz w:val="18"/>
          <w:szCs w:val="18"/>
        </w:rPr>
        <w:t>, Prol. 49: «processu vero conversationis et fidei, dilatato corde inenarrabili dilectionis dulcedine curritur via mandatorum Dei». The Rule is quoted according to the numbering of Fry (1981); for text and commentary, see de Vogüé and Neufville (1971-1972) and Kardong (1996).</w:t>
      </w:r>
    </w:p>
  </w:footnote>
  <w:footnote w:id="20">
    <w:p w14:paraId="68E7AB8C" w14:textId="77777777" w:rsidR="00D0529E" w:rsidRDefault="00000000">
      <w:pPr>
        <w:ind w:firstLine="283"/>
        <w:jc w:val="both"/>
      </w:pPr>
      <w:r>
        <w:rPr>
          <w:sz w:val="16"/>
          <w:vertAlign w:val="superscript"/>
        </w:rPr>
        <w:footnoteRef/>
      </w:r>
      <w:r>
        <w:rPr>
          <w:sz w:val="18"/>
          <w:szCs w:val="18"/>
        </w:rPr>
        <w:t xml:space="preserve"> See Kardong (1996), commentary on Prol. 45, and the discussion in de Vogüé and Neufville (1971-1972).</w:t>
      </w:r>
    </w:p>
  </w:footnote>
  <w:footnote w:id="21">
    <w:p w14:paraId="1AAD00F7" w14:textId="77777777" w:rsidR="00D0529E" w:rsidRDefault="00000000">
      <w:pPr>
        <w:ind w:firstLine="283"/>
        <w:jc w:val="both"/>
      </w:pPr>
      <w:r>
        <w:rPr>
          <w:sz w:val="16"/>
          <w:vertAlign w:val="superscript"/>
        </w:rPr>
        <w:footnoteRef/>
      </w:r>
      <w:r>
        <w:rPr>
          <w:sz w:val="18"/>
          <w:szCs w:val="18"/>
        </w:rPr>
        <w:t xml:space="preserve"> Leclercq (1957).</w:t>
      </w:r>
    </w:p>
  </w:footnote>
  <w:footnote w:id="22">
    <w:p w14:paraId="7A0AB4CE" w14:textId="77777777" w:rsidR="00D0529E" w:rsidRDefault="00000000">
      <w:pPr>
        <w:ind w:firstLine="283"/>
        <w:jc w:val="both"/>
      </w:pPr>
      <w:r>
        <w:rPr>
          <w:sz w:val="16"/>
          <w:vertAlign w:val="superscript"/>
        </w:rPr>
        <w:footnoteRef/>
      </w:r>
      <w:r>
        <w:rPr>
          <w:sz w:val="18"/>
          <w:szCs w:val="18"/>
        </w:rPr>
        <w:t xml:space="preserve"> On Gregory’s life and the context of the </w:t>
      </w:r>
      <w:r>
        <w:rPr>
          <w:i/>
          <w:sz w:val="18"/>
          <w:szCs w:val="18"/>
        </w:rPr>
        <w:t>Moralia</w:t>
      </w:r>
      <w:r>
        <w:rPr>
          <w:sz w:val="18"/>
          <w:szCs w:val="18"/>
        </w:rPr>
        <w:t>, Markus (1997); on the relationship between ascetic formation and pastoral authority in his work, Leyser (2000).</w:t>
      </w:r>
    </w:p>
  </w:footnote>
  <w:footnote w:id="23">
    <w:p w14:paraId="07C74211" w14:textId="77777777" w:rsidR="00D0529E" w:rsidRDefault="00000000">
      <w:pPr>
        <w:ind w:firstLine="283"/>
        <w:jc w:val="both"/>
      </w:pPr>
      <w:r>
        <w:rPr>
          <w:sz w:val="16"/>
          <w:vertAlign w:val="superscript"/>
        </w:rPr>
        <w:footnoteRef/>
      </w:r>
      <w:r>
        <w:rPr>
          <w:sz w:val="18"/>
          <w:szCs w:val="18"/>
        </w:rPr>
        <w:t xml:space="preserve"> Gregory the Great, </w:t>
      </w:r>
      <w:r>
        <w:rPr>
          <w:i/>
          <w:sz w:val="18"/>
          <w:szCs w:val="18"/>
        </w:rPr>
        <w:t>Moralia in Iob</w:t>
      </w:r>
      <w:r>
        <w:rPr>
          <w:sz w:val="18"/>
          <w:szCs w:val="18"/>
        </w:rPr>
        <w:t xml:space="preserve"> I, iii, 4, ed. Adriaen (1979-1985), I; the translation is adapted from Bliss (1844-1850).</w:t>
      </w:r>
    </w:p>
  </w:footnote>
  <w:footnote w:id="24">
    <w:p w14:paraId="023E49FD" w14:textId="77777777" w:rsidR="00D0529E" w:rsidRDefault="00000000">
      <w:pPr>
        <w:ind w:firstLine="283"/>
        <w:jc w:val="both"/>
      </w:pPr>
      <w:r>
        <w:rPr>
          <w:sz w:val="16"/>
          <w:vertAlign w:val="superscript"/>
        </w:rPr>
        <w:footnoteRef/>
      </w:r>
      <w:r>
        <w:rPr>
          <w:sz w:val="18"/>
          <w:szCs w:val="18"/>
        </w:rPr>
        <w:t xml:space="preserve"> Straw (1988).</w:t>
      </w:r>
    </w:p>
  </w:footnote>
  <w:footnote w:id="25">
    <w:p w14:paraId="2AA93126" w14:textId="77777777" w:rsidR="00D0529E" w:rsidRDefault="00000000">
      <w:pPr>
        <w:ind w:firstLine="283"/>
        <w:jc w:val="both"/>
      </w:pPr>
      <w:r>
        <w:rPr>
          <w:sz w:val="16"/>
          <w:vertAlign w:val="superscript"/>
        </w:rPr>
        <w:footnoteRef/>
      </w:r>
      <w:r>
        <w:rPr>
          <w:sz w:val="18"/>
          <w:szCs w:val="18"/>
        </w:rPr>
        <w:t xml:space="preserve"> Augustine, </w:t>
      </w:r>
      <w:r>
        <w:rPr>
          <w:i/>
          <w:sz w:val="18"/>
          <w:szCs w:val="18"/>
        </w:rPr>
        <w:t>Confessiones</w:t>
      </w:r>
      <w:r>
        <w:rPr>
          <w:sz w:val="18"/>
          <w:szCs w:val="18"/>
        </w:rPr>
        <w:t xml:space="preserve"> X, 28, 39.</w:t>
      </w:r>
    </w:p>
  </w:footnote>
  <w:footnote w:id="26">
    <w:p w14:paraId="37CF482A" w14:textId="77777777" w:rsidR="00D0529E" w:rsidRDefault="00000000">
      <w:pPr>
        <w:ind w:firstLine="283"/>
        <w:jc w:val="both"/>
      </w:pPr>
      <w:r>
        <w:rPr>
          <w:sz w:val="16"/>
          <w:vertAlign w:val="superscript"/>
        </w:rPr>
        <w:footnoteRef/>
      </w:r>
      <w:r>
        <w:rPr>
          <w:sz w:val="18"/>
          <w:szCs w:val="18"/>
        </w:rPr>
        <w:t xml:space="preserve"> I have developed this idea of interpretation as a practice for which the interpreter is accountable in Bisogno (2025).</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grammar="clean"/>
  <w:defaultTabStop w:val="708"/>
  <w:autoHyphenation/>
  <w:hyphenationZone w:val="283"/>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9E"/>
    <w:rsid w:val="00105EEF"/>
    <w:rsid w:val="003A4419"/>
    <w:rsid w:val="00D0529E"/>
    <w:rsid w:val="00D16156"/>
    <w:rsid w:val="00FE557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EB1297A"/>
  <w15:docId w15:val="{0D693BDA-1859-CD4B-A471-9EC36FAB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GB"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rPr>
      <w:sz w:val="18"/>
    </w:rPr>
  </w:style>
  <w:style w:type="character" w:styleId="Rimandonotaapidipagina">
    <w:name w:val="footnote referen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3990</Words>
  <Characters>19676</Characters>
  <Application>Microsoft Office Word</Application>
  <DocSecurity>0</DocSecurity>
  <Lines>371</Lines>
  <Paragraphs>83</Paragraphs>
  <ScaleCrop>false</ScaleCrop>
  <Company/>
  <LinksUpToDate>false</LinksUpToDate>
  <CharactersWithSpaces>23583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Stadium to Studium</dc:title>
  <dc:creator>Armando Bisogno</dc:creator>
  <cp:lastModifiedBy>Armando BISOGNO</cp:lastModifiedBy>
  <cp:revision>3</cp:revision>
  <dcterms:created xsi:type="dcterms:W3CDTF">2026-09-29T05:37:00Z</dcterms:created>
  <dcterms:modified xsi:type="dcterms:W3CDTF">2026-09-29T05:43:00Z</dcterms:modified>
</cp:coreProperties>
</file>