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446A2F" w14:textId="78905C59" w:rsidR="00692B07" w:rsidRPr="00441ABE" w:rsidRDefault="001F7F56" w:rsidP="001F7F56">
      <w:pPr>
        <w:spacing w:after="40"/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iCs/>
          <w:color w:val="000000" w:themeColor="text1"/>
          <w:sz w:val="24"/>
          <w:szCs w:val="24"/>
          <w:lang w:val="it-IT"/>
        </w:rPr>
        <w:t>Erasmo Mordente</w:t>
      </w:r>
      <w:r w:rsidR="00441ABE" w:rsidRPr="00441ABE">
        <w:rPr>
          <w:rFonts w:ascii="Garamond" w:hAnsi="Garamond"/>
          <w:iCs/>
          <w:color w:val="000000" w:themeColor="text1"/>
          <w:sz w:val="24"/>
          <w:szCs w:val="24"/>
          <w:lang w:val="it-IT"/>
        </w:rPr>
        <w:t>,</w:t>
      </w:r>
      <w:r w:rsidR="007C5FCC">
        <w:rPr>
          <w:rFonts w:ascii="Garamond" w:hAnsi="Garamond"/>
          <w:iCs/>
          <w:color w:val="000000" w:themeColor="text1"/>
          <w:sz w:val="24"/>
          <w:szCs w:val="24"/>
          <w:lang w:val="it-IT"/>
        </w:rPr>
        <w:t xml:space="preserve"> </w:t>
      </w:r>
      <w:r w:rsidR="00000000" w:rsidRPr="00441ABE">
        <w:rPr>
          <w:rFonts w:ascii="Garamond" w:hAnsi="Garamond"/>
          <w:i/>
          <w:color w:val="000000" w:themeColor="text1"/>
          <w:sz w:val="24"/>
          <w:szCs w:val="24"/>
          <w:lang w:val="it-IT"/>
        </w:rPr>
        <w:t xml:space="preserve">Riflessioni filosofiche sul problema del male a partire dalla </w:t>
      </w:r>
      <w:r w:rsidR="008B0D94">
        <w:rPr>
          <w:rFonts w:ascii="Garamond" w:hAnsi="Garamond"/>
          <w:i/>
          <w:color w:val="000000" w:themeColor="text1"/>
          <w:sz w:val="24"/>
          <w:szCs w:val="24"/>
          <w:lang w:val="it-IT"/>
        </w:rPr>
        <w:t>‘</w:t>
      </w:r>
      <w:proofErr w:type="spellStart"/>
      <w:r w:rsidR="00000000" w:rsidRPr="00441ABE">
        <w:rPr>
          <w:rFonts w:ascii="Garamond" w:hAnsi="Garamond"/>
          <w:i/>
          <w:color w:val="000000" w:themeColor="text1"/>
          <w:sz w:val="24"/>
          <w:szCs w:val="24"/>
          <w:lang w:val="it-IT"/>
        </w:rPr>
        <w:t>Consolatio</w:t>
      </w:r>
      <w:proofErr w:type="spellEnd"/>
      <w:r w:rsidR="00000000" w:rsidRPr="00441ABE">
        <w:rPr>
          <w:rFonts w:ascii="Garamond" w:hAnsi="Garamond"/>
          <w:i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="00000000" w:rsidRPr="00441ABE">
        <w:rPr>
          <w:rFonts w:ascii="Garamond" w:hAnsi="Garamond"/>
          <w:i/>
          <w:color w:val="000000" w:themeColor="text1"/>
          <w:sz w:val="24"/>
          <w:szCs w:val="24"/>
          <w:lang w:val="it-IT"/>
        </w:rPr>
        <w:t>Philosophiae</w:t>
      </w:r>
      <w:proofErr w:type="spellEnd"/>
      <w:r w:rsidR="008B0D94">
        <w:rPr>
          <w:rFonts w:ascii="Garamond" w:hAnsi="Garamond"/>
          <w:i/>
          <w:color w:val="000000" w:themeColor="text1"/>
          <w:sz w:val="24"/>
          <w:szCs w:val="24"/>
          <w:lang w:val="it-IT"/>
        </w:rPr>
        <w:t>’</w:t>
      </w:r>
      <w:r w:rsidR="00000000" w:rsidRPr="00441ABE">
        <w:rPr>
          <w:rFonts w:ascii="Garamond" w:hAnsi="Garamond"/>
          <w:i/>
          <w:color w:val="000000" w:themeColor="text1"/>
          <w:sz w:val="24"/>
          <w:szCs w:val="24"/>
          <w:lang w:val="it-IT"/>
        </w:rPr>
        <w:t xml:space="preserve"> di Boezio</w:t>
      </w:r>
    </w:p>
    <w:p w14:paraId="7E26D5BE" w14:textId="77777777" w:rsidR="00692B07" w:rsidRPr="00441ABE" w:rsidRDefault="00692B07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</w:p>
    <w:p w14:paraId="42CF60C5" w14:textId="1FBC261E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La tesi affronta la </w:t>
      </w:r>
      <w:proofErr w:type="spellStart"/>
      <w:r w:rsidRPr="00441ABE">
        <w:rPr>
          <w:rFonts w:ascii="Garamond" w:hAnsi="Garamond"/>
          <w:i/>
          <w:iCs/>
          <w:color w:val="000000" w:themeColor="text1"/>
          <w:sz w:val="24"/>
          <w:szCs w:val="24"/>
          <w:lang w:val="it-IT"/>
        </w:rPr>
        <w:t>Consolatio</w:t>
      </w:r>
      <w:proofErr w:type="spellEnd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</w:t>
      </w:r>
      <w:r w:rsidR="00441ABE"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di Boezio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muovendo da un impianto in tre capitoli che procede con chiarezza dal contesto storico al cuore teoretico dell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opera, per allargarsi infine a un confronto storico-filosofico sul problema del male.</w:t>
      </w:r>
    </w:p>
    <w:p w14:paraId="28C03E95" w14:textId="0815E1F2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Il primo capitolo ricostruisce il profilo di Boezio</w:t>
      </w:r>
      <w:r w:rsidR="00441ABE"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e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la </w:t>
      </w:r>
      <w:r w:rsidR="00441ABE"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sua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produzione letteraria prima di passare all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analisi della struttura del </w:t>
      </w:r>
      <w:r w:rsid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testo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e dei suoi personaggi allegorici (Boezio, Filosofia, Fortuna, le Muse), di cui offre una lettura attenta anche alla luce dell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interpretazione di Antonio Donato. Chiude il capitolo un confronto ben condotto tra la </w:t>
      </w:r>
      <w:proofErr w:type="spellStart"/>
      <w:r w:rsidRPr="00441ABE">
        <w:rPr>
          <w:rFonts w:ascii="Garamond" w:hAnsi="Garamond"/>
          <w:i/>
          <w:iCs/>
          <w:color w:val="000000" w:themeColor="text1"/>
          <w:sz w:val="24"/>
          <w:szCs w:val="24"/>
          <w:lang w:val="it-IT"/>
        </w:rPr>
        <w:t>Consolatio</w:t>
      </w:r>
      <w:proofErr w:type="spellEnd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e i dialoghi socratici Fedone e Critone, che mette in luce sia le analogie (la condizione del filosofo prigioniero, la personificazione della guida razionale) sia le differenze (l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assenza, in Boezio, di una trattazione sull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immortalità dell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anima).</w:t>
      </w:r>
    </w:p>
    <w:p w14:paraId="722DABDF" w14:textId="208F49DB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Il secondo capitolo entra nel vivo della speculazione filosofica</w:t>
      </w:r>
      <w:r w:rsid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, con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padronanza degli argomenti tecnici, ricostruendo con precisione la distinzione </w:t>
      </w:r>
      <w:proofErr w:type="spellStart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boeziana</w:t>
      </w:r>
      <w:proofErr w:type="spellEnd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tra necessità assoluta e necessità condizionata, 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esempio della sfera conosciuta diversamente da vista e tatto, e la soluzione finale imperniata sulla natura atemporale della conoscenza divina.</w:t>
      </w:r>
    </w:p>
    <w:p w14:paraId="2C3C5CBD" w14:textId="100F0DDD" w:rsidR="007C5FCC" w:rsidRDefault="00000000" w:rsidP="00441ABE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Il terzo capitolo allarga lo sguardo</w:t>
      </w:r>
      <w:r w:rsid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a </w:t>
      </w:r>
      <w:r w:rsid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un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confronto con altre concezioni del male. Chiudono il capitolo alcune considerazioni finali sulla figura di Boezio e sul significato del finale della </w:t>
      </w:r>
      <w:proofErr w:type="spellStart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Consolatio</w:t>
      </w:r>
      <w:proofErr w:type="spellEnd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, letto anche alla luce dell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ipotesi, suggestiva, di un possibile riferimento alla teurgia neoplatonica.</w:t>
      </w:r>
    </w:p>
    <w:p w14:paraId="279A0AC9" w14:textId="24C263C4" w:rsidR="00692B07" w:rsidRPr="00441ABE" w:rsidRDefault="00000000" w:rsidP="00441ABE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Il lavoro possiede il pregio, non scontato in una tesi triennale, di una esposizione lineare e sicura anche nei passaggi più tecnici: il candidato non si limita a riassumere il testo </w:t>
      </w:r>
      <w:proofErr w:type="spellStart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boeziano</w:t>
      </w:r>
      <w:proofErr w:type="spellEnd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, ma ne ricostruisce 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argomentazione e ne discute la coerenza interna, come si vede bene nelle pagine dedicate al rapporto tra prescienza e libertà. </w:t>
      </w:r>
      <w:r w:rsidR="00441ABE">
        <w:rPr>
          <w:rFonts w:ascii="Garamond" w:hAnsi="Garamond"/>
          <w:color w:val="000000" w:themeColor="text1"/>
          <w:sz w:val="24"/>
          <w:szCs w:val="24"/>
          <w:lang w:val="it-IT"/>
        </w:rPr>
        <w:t>Corretto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anche 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uso della letteratura critica, in particolare della monografia di Antonio Donato, utilizzata non come semplice fonte di erudizione ma come chiave interpretativa.</w:t>
      </w:r>
      <w:r w:rsid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La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tesi </w:t>
      </w:r>
      <w:r w:rsid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si presenta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solida, ben costruita e scritta con chiarezza, che rivela comprensione dei problemi filosofici affrontati e un impegno serio nello studio delle fonti primarie e critiche. </w:t>
      </w:r>
    </w:p>
    <w:p w14:paraId="5B9C850E" w14:textId="77777777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br w:type="page"/>
      </w:r>
    </w:p>
    <w:p w14:paraId="5E38316C" w14:textId="23F9A974" w:rsidR="00692B07" w:rsidRPr="00441ABE" w:rsidRDefault="007C5FCC" w:rsidP="001F7F56">
      <w:pPr>
        <w:spacing w:after="40"/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>
        <w:rPr>
          <w:rFonts w:ascii="Garamond" w:hAnsi="Garamond"/>
          <w:iCs/>
          <w:color w:val="000000" w:themeColor="text1"/>
          <w:sz w:val="24"/>
          <w:szCs w:val="24"/>
          <w:lang w:val="it-IT"/>
        </w:rPr>
        <w:lastRenderedPageBreak/>
        <w:t xml:space="preserve">Antonio Ginolfi, </w:t>
      </w:r>
      <w:r w:rsidR="00000000" w:rsidRPr="00441ABE">
        <w:rPr>
          <w:rFonts w:ascii="Garamond" w:hAnsi="Garamond"/>
          <w:i/>
          <w:color w:val="000000" w:themeColor="text1"/>
          <w:sz w:val="24"/>
          <w:szCs w:val="24"/>
          <w:lang w:val="it-IT"/>
        </w:rPr>
        <w:t>Mostro, diversità e superstizione: ai margini della norma nel Medioevo</w:t>
      </w:r>
    </w:p>
    <w:p w14:paraId="005AD4E8" w14:textId="77777777" w:rsidR="00692B07" w:rsidRPr="00441ABE" w:rsidRDefault="00692B07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</w:p>
    <w:p w14:paraId="08C134D6" w14:textId="471E8681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La tesi propone un percorso di ampio respiro sulla categoria del 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‘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mostruoso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nel pensiero medievale, organizzato secondo un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architettura a tre livelli 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-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ontologico, geografico e socio-antropologico 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-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che si rivela particolarmente efficace nel restituire la lunga e complessa parabola con cui la cultura occidentale ha elaborato, nel corso di un millennio, la propria idea di norma e di alterità.</w:t>
      </w:r>
    </w:p>
    <w:p w14:paraId="7714A000" w14:textId="182E4B90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Il primo capitolo affronta lo statuto ontologico del mostro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, arrivando fino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alla grande soluzione teologica offerta da Agostino d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Ippona nel </w:t>
      </w:r>
      <w:r w:rsidRPr="007C5FCC">
        <w:rPr>
          <w:rFonts w:ascii="Garamond" w:hAnsi="Garamond"/>
          <w:i/>
          <w:iCs/>
          <w:color w:val="000000" w:themeColor="text1"/>
          <w:sz w:val="24"/>
          <w:szCs w:val="24"/>
          <w:lang w:val="it-IT"/>
        </w:rPr>
        <w:t>De Civitate Dei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: il mostro come </w:t>
      </w:r>
      <w:proofErr w:type="spellStart"/>
      <w:r w:rsidRPr="007C5FCC">
        <w:rPr>
          <w:rFonts w:ascii="Garamond" w:hAnsi="Garamond"/>
          <w:i/>
          <w:iCs/>
          <w:color w:val="000000" w:themeColor="text1"/>
          <w:sz w:val="24"/>
          <w:szCs w:val="24"/>
          <w:lang w:val="it-IT"/>
        </w:rPr>
        <w:t>ornamentum</w:t>
      </w:r>
      <w:proofErr w:type="spellEnd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, tassello apparentemente stonato ma necessario alla bellezza del mosaico universale, secondo una logica prospettica che il candidato illustra con efficacia anche attraverso il caso esemplare dei Cinocefali e la soluzione proposta da Ratramno di Corbie nella sua Epistola de </w:t>
      </w:r>
      <w:proofErr w:type="spellStart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Cynocephalis</w:t>
      </w:r>
      <w:proofErr w:type="spellEnd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. Il capitolo si chiude con la sistemazione scolastica offerta da Tommaso d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Aquino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del </w:t>
      </w:r>
      <w:proofErr w:type="spellStart"/>
      <w:r w:rsidRPr="007C5FCC">
        <w:rPr>
          <w:rFonts w:ascii="Garamond" w:hAnsi="Garamond"/>
          <w:i/>
          <w:iCs/>
          <w:color w:val="000000" w:themeColor="text1"/>
          <w:sz w:val="24"/>
          <w:szCs w:val="24"/>
          <w:lang w:val="it-IT"/>
        </w:rPr>
        <w:t>peccatum</w:t>
      </w:r>
      <w:proofErr w:type="spellEnd"/>
      <w:r w:rsidRPr="007C5FCC">
        <w:rPr>
          <w:rFonts w:ascii="Garamond" w:hAnsi="Garamond"/>
          <w:i/>
          <w:iCs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7C5FCC">
        <w:rPr>
          <w:rFonts w:ascii="Garamond" w:hAnsi="Garamond"/>
          <w:i/>
          <w:iCs/>
          <w:color w:val="000000" w:themeColor="text1"/>
          <w:sz w:val="24"/>
          <w:szCs w:val="24"/>
          <w:lang w:val="it-IT"/>
        </w:rPr>
        <w:t>naturae</w:t>
      </w:r>
      <w:proofErr w:type="spellEnd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che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apren la strada a una lettura naturalistica della deformità.</w:t>
      </w:r>
    </w:p>
    <w:p w14:paraId="6D4B0AEC" w14:textId="4362C4A2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Il secondo capitolo sposta 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attenzione sul piano geografico e cartografico, ricostruendo la trasmissione dell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immaginario teratologico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antico e medievale.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Il capitolo si arricchisce di un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ulteriore sezione, condotta sulla scorta degli studi di Gioia Zaganelli.</w:t>
      </w:r>
    </w:p>
    <w:p w14:paraId="72EEE15D" w14:textId="663DB46E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Il terzo capitolo compie il passaggio più originale del lavoro, seguendo lo spostamento del mostruoso dall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esterno all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interno della cristianità: 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>dal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la </w:t>
      </w:r>
      <w:proofErr w:type="spellStart"/>
      <w:r w:rsidRPr="007C5FCC">
        <w:rPr>
          <w:rFonts w:ascii="Garamond" w:hAnsi="Garamond"/>
          <w:i/>
          <w:iCs/>
          <w:color w:val="000000" w:themeColor="text1"/>
          <w:sz w:val="24"/>
          <w:szCs w:val="24"/>
          <w:lang w:val="it-IT"/>
        </w:rPr>
        <w:t>superstitio</w:t>
      </w:r>
      <w:proofErr w:type="spellEnd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come </w:t>
      </w:r>
      <w:proofErr w:type="spellStart"/>
      <w:r w:rsidRPr="007C5FCC">
        <w:rPr>
          <w:rFonts w:ascii="Garamond" w:hAnsi="Garamond"/>
          <w:i/>
          <w:iCs/>
          <w:color w:val="000000" w:themeColor="text1"/>
          <w:sz w:val="24"/>
          <w:szCs w:val="24"/>
          <w:lang w:val="it-IT"/>
        </w:rPr>
        <w:t>religio</w:t>
      </w:r>
      <w:proofErr w:type="spellEnd"/>
      <w:r w:rsidRPr="007C5FCC">
        <w:rPr>
          <w:rFonts w:ascii="Garamond" w:hAnsi="Garamond"/>
          <w:i/>
          <w:iCs/>
          <w:color w:val="000000" w:themeColor="text1"/>
          <w:sz w:val="24"/>
          <w:szCs w:val="24"/>
          <w:lang w:val="it-IT"/>
        </w:rPr>
        <w:t xml:space="preserve"> prava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fino alla concreta applicazione delle categorie teratologiche agli emarginati sociali del Basso Medioevo.</w:t>
      </w:r>
    </w:p>
    <w:p w14:paraId="54A5ABEF" w14:textId="227CFFDA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Il pregio maggiore della tesi risiede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, come detto,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nella capacità di tenere insieme, in un disegno coerente, ambiti disciplinari solitamente trattati separatamente 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>-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teologia, cartografia, storia dell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arte, storia sociale 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>-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restituendo un quadro d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insieme di notevole respiro concettuale. La bibliografia è ampia, aggiornata e utilizzata con proprietà, e il candidato dimostra di saper leggere le fonti primarie (Agostino, Tommaso, Isidoro, Plinio) alla luce della letteratura critica disponibile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>. Il lavoro si presenta così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ben costruito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e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testimonia 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la volontà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di 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una ampia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sintesi storiografica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>.</w:t>
      </w:r>
    </w:p>
    <w:p w14:paraId="72C1E1F0" w14:textId="77777777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br w:type="page"/>
      </w:r>
    </w:p>
    <w:p w14:paraId="267DEC0B" w14:textId="56F0F324" w:rsidR="00692B07" w:rsidRPr="00441ABE" w:rsidRDefault="007C5FCC" w:rsidP="007C5FCC">
      <w:pPr>
        <w:spacing w:after="40"/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>
        <w:rPr>
          <w:rFonts w:ascii="Garamond" w:hAnsi="Garamond"/>
          <w:iCs/>
          <w:color w:val="000000" w:themeColor="text1"/>
          <w:sz w:val="24"/>
          <w:szCs w:val="24"/>
          <w:lang w:val="it-IT"/>
        </w:rPr>
        <w:lastRenderedPageBreak/>
        <w:t xml:space="preserve">Emanuele Di Lascio, </w:t>
      </w:r>
      <w:r w:rsidR="00000000" w:rsidRPr="00441ABE">
        <w:rPr>
          <w:rFonts w:ascii="Garamond" w:hAnsi="Garamond"/>
          <w:i/>
          <w:color w:val="000000" w:themeColor="text1"/>
          <w:sz w:val="24"/>
          <w:szCs w:val="24"/>
          <w:lang w:val="it-IT"/>
        </w:rPr>
        <w:t>Come un cammello in una grondaia. Caduta e ascesa dell</w:t>
      </w:r>
      <w:r w:rsidR="008B0D94">
        <w:rPr>
          <w:rFonts w:ascii="Garamond" w:hAnsi="Garamond"/>
          <w:i/>
          <w:color w:val="000000" w:themeColor="text1"/>
          <w:sz w:val="24"/>
          <w:szCs w:val="24"/>
          <w:lang w:val="it-IT"/>
        </w:rPr>
        <w:t>’</w:t>
      </w:r>
      <w:r w:rsidR="00000000" w:rsidRPr="00441ABE">
        <w:rPr>
          <w:rFonts w:ascii="Garamond" w:hAnsi="Garamond"/>
          <w:i/>
          <w:color w:val="000000" w:themeColor="text1"/>
          <w:sz w:val="24"/>
          <w:szCs w:val="24"/>
          <w:lang w:val="it-IT"/>
        </w:rPr>
        <w:t xml:space="preserve">anima nel primo libro del </w:t>
      </w:r>
      <w:proofErr w:type="spellStart"/>
      <w:r w:rsidR="00000000" w:rsidRPr="00441ABE">
        <w:rPr>
          <w:rFonts w:ascii="Garamond" w:hAnsi="Garamond"/>
          <w:i/>
          <w:color w:val="000000" w:themeColor="text1"/>
          <w:sz w:val="24"/>
          <w:szCs w:val="24"/>
          <w:lang w:val="it-IT"/>
        </w:rPr>
        <w:t>Masnavi</w:t>
      </w:r>
      <w:proofErr w:type="spellEnd"/>
      <w:r w:rsidR="00000000" w:rsidRPr="00441ABE">
        <w:rPr>
          <w:rFonts w:ascii="Garamond" w:hAnsi="Garamond"/>
          <w:i/>
          <w:color w:val="000000" w:themeColor="text1"/>
          <w:sz w:val="24"/>
          <w:szCs w:val="24"/>
          <w:lang w:val="it-IT"/>
        </w:rPr>
        <w:t xml:space="preserve"> di </w:t>
      </w:r>
      <w:proofErr w:type="spellStart"/>
      <w:r w:rsidR="00000000" w:rsidRPr="00441ABE">
        <w:rPr>
          <w:rFonts w:ascii="Garamond" w:hAnsi="Garamond"/>
          <w:i/>
          <w:color w:val="000000" w:themeColor="text1"/>
          <w:sz w:val="24"/>
          <w:szCs w:val="24"/>
          <w:lang w:val="it-IT"/>
        </w:rPr>
        <w:t>Jalāl</w:t>
      </w:r>
      <w:proofErr w:type="spellEnd"/>
      <w:r w:rsidR="00000000" w:rsidRPr="00441ABE">
        <w:rPr>
          <w:rFonts w:ascii="Garamond" w:hAnsi="Garamond"/>
          <w:i/>
          <w:color w:val="000000" w:themeColor="text1"/>
          <w:sz w:val="24"/>
          <w:szCs w:val="24"/>
          <w:lang w:val="it-IT"/>
        </w:rPr>
        <w:t xml:space="preserve"> al-Dīn Rūmī</w:t>
      </w:r>
    </w:p>
    <w:p w14:paraId="47D52D13" w14:textId="77777777" w:rsidR="00692B07" w:rsidRPr="00441ABE" w:rsidRDefault="00692B07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</w:p>
    <w:p w14:paraId="1FE80970" w14:textId="1DD6094A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La tesi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propone un percorso di studio all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interno della mistica islamica, e in particolare del primo libro del </w:t>
      </w:r>
      <w:proofErr w:type="spellStart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Masnavi</w:t>
      </w:r>
      <w:proofErr w:type="spellEnd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di </w:t>
      </w:r>
      <w:proofErr w:type="spellStart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Jalāl</w:t>
      </w:r>
      <w:proofErr w:type="spellEnd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al-Dīn Rūmī, uno dei testi fondativi della poesia mistica persiana.</w:t>
      </w:r>
    </w:p>
    <w:p w14:paraId="6C7786B7" w14:textId="1466999A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Il primo capitolo introduce il lettore al sufismo e alla figura di Rūmī.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Il secondo capitolo espone la teoria islamica dell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anima nella sua articolazione tripartita accanto alla funzione mediatrice 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>del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intelletto. Il candidato accompagna questa esposizione con un attento riscontro coranico e con riferimenti alla letteratura sufi classica (in particolare Nicholson), costruendo così 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apparato concettuale necessario alla lettura del </w:t>
      </w:r>
      <w:proofErr w:type="spellStart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Masnavi</w:t>
      </w:r>
      <w:proofErr w:type="spellEnd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.</w:t>
      </w:r>
    </w:p>
    <w:p w14:paraId="7E6A8044" w14:textId="71F21F43" w:rsidR="007C5FCC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Il terzo capitolo applica questi strumenti a tre racconti scelti del poema letti come tappe di un unico percorso simbolico. Il lavoro si chiude con un epilogo e una postfazione di taglio più personale, che collegano la riflessione sufi a suggestioni tratte dalla canzone di Franco Battiato che dà il titolo all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elaborato, e a una più ampia meditazione sul senso della ricerca spirituale nel presente.</w:t>
      </w:r>
    </w:p>
    <w:p w14:paraId="181530B8" w14:textId="3387B2E2" w:rsidR="00692B07" w:rsidRPr="00441ABE" w:rsidRDefault="00000000" w:rsidP="001F7F56">
      <w:pPr>
        <w:jc w:val="both"/>
        <w:rPr>
          <w:rFonts w:ascii="Garamond" w:hAnsi="Garamond"/>
          <w:color w:val="000000" w:themeColor="text1"/>
          <w:sz w:val="24"/>
          <w:szCs w:val="24"/>
          <w:lang w:val="it-IT"/>
        </w:rPr>
      </w:pP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Il 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primo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merito di questo lavoro sta nella scelta stessa dell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oggetto di studio: misurarsi con un terreno linguisticamente e concettualmente impegnativo come la mistica sufi, dentro una tesi di storia della filosofia medievale, richiede una disponibilità non comune ad uscire dai percorsi più familiari, e il candidato lo fa con evidente passione, restituendo con chiarezza nozioni tecniche complesse (la tripartizione dell</w:t>
      </w:r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anima, il concetto di </w:t>
      </w:r>
      <w:proofErr w:type="spellStart"/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fanā</w:t>
      </w:r>
      <w:proofErr w:type="spellEnd"/>
      <w:r w:rsidR="008B0D94">
        <w:rPr>
          <w:rFonts w:ascii="Garamond" w:hAnsi="Garamond"/>
          <w:color w:val="000000" w:themeColor="text1"/>
          <w:sz w:val="24"/>
          <w:szCs w:val="24"/>
          <w:lang w:val="it-IT"/>
        </w:rPr>
        <w:t>’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>) a un lettore non specialista.</w:t>
      </w:r>
      <w:r w:rsidR="007C5FCC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 Il risultato è u</w:t>
      </w:r>
      <w:r w:rsidRPr="00441ABE">
        <w:rPr>
          <w:rFonts w:ascii="Garamond" w:hAnsi="Garamond"/>
          <w:color w:val="000000" w:themeColor="text1"/>
          <w:sz w:val="24"/>
          <w:szCs w:val="24"/>
          <w:lang w:val="it-IT"/>
        </w:rPr>
        <w:t xml:space="preserve">n lavoro originale e sentito, che merita apprezzamento per il coraggio della scelta tematica e per la sincerità con cui il candidato ha saputo intrecciare lo studio accademico a una ricerca personale di senso. </w:t>
      </w:r>
    </w:p>
    <w:sectPr w:rsidR="00692B07" w:rsidRPr="00441A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356140">
    <w:abstractNumId w:val="8"/>
  </w:num>
  <w:num w:numId="2" w16cid:durableId="647782990">
    <w:abstractNumId w:val="6"/>
  </w:num>
  <w:num w:numId="3" w16cid:durableId="194316773">
    <w:abstractNumId w:val="5"/>
  </w:num>
  <w:num w:numId="4" w16cid:durableId="885794990">
    <w:abstractNumId w:val="4"/>
  </w:num>
  <w:num w:numId="5" w16cid:durableId="517163848">
    <w:abstractNumId w:val="7"/>
  </w:num>
  <w:num w:numId="6" w16cid:durableId="1871675221">
    <w:abstractNumId w:val="3"/>
  </w:num>
  <w:num w:numId="7" w16cid:durableId="491220058">
    <w:abstractNumId w:val="2"/>
  </w:num>
  <w:num w:numId="8" w16cid:durableId="1026642676">
    <w:abstractNumId w:val="1"/>
  </w:num>
  <w:num w:numId="9" w16cid:durableId="16838961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F56"/>
    <w:rsid w:val="0029639D"/>
    <w:rsid w:val="00326F90"/>
    <w:rsid w:val="00441ABE"/>
    <w:rsid w:val="00692B07"/>
    <w:rsid w:val="007A32E3"/>
    <w:rsid w:val="007C5FCC"/>
    <w:rsid w:val="008B0D94"/>
    <w:rsid w:val="00AA1D8D"/>
    <w:rsid w:val="00B47730"/>
    <w:rsid w:val="00B866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66BE8A"/>
  <w14:defaultImageDpi w14:val="300"/>
  <w15:docId w15:val="{28EDB44B-E2F6-C846-BD26-21606D17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969</Words>
  <Characters>5528</Characters>
  <Application>Microsoft Office Word</Application>
  <DocSecurity>0</DocSecurity>
  <Lines>46</Lines>
  <Paragraphs>12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Armando BISOGNO</cp:lastModifiedBy>
  <cp:revision>5</cp:revision>
  <dcterms:created xsi:type="dcterms:W3CDTF">2013-12-23T23:15:00Z</dcterms:created>
  <dcterms:modified xsi:type="dcterms:W3CDTF">2026-09-15T06:10:00Z</dcterms:modified>
  <cp:category/>
</cp:coreProperties>
</file>