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7777777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D3A16EA" wp14:editId="0C2F9F0F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134235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01" y="21368"/>
                <wp:lineTo x="2140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03 at 6.4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0C066" w14:textId="3D579773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54C1ACCB" w14:textId="181A7A2D" w:rsidR="00564D6A" w:rsidRPr="006B19D4" w:rsidRDefault="00C60329" w:rsidP="00B5734C">
      <w:pPr>
        <w:pStyle w:val="Puest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493116C4" w:rsidR="00E64B5D" w:rsidRPr="00414A68" w:rsidRDefault="002E160F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23/10/2018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C471ACB" w:rsidR="00E64B5D" w:rsidRPr="00414A68" w:rsidRDefault="00B5734C" w:rsidP="002E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390FE412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142470F8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53"/>
        <w:gridCol w:w="8741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026AFAEE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documento de planeación del segundo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2D279B28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Roles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(JHLO)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301579EC" w:rsidR="00515A6D" w:rsidRPr="00515A6D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(Agregar Historias de Usuario):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CHJA)</w:t>
            </w: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4109662" w14:textId="05BC283D" w:rsidR="002B0AEC" w:rsidRDefault="003325AF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442C4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Eliminar Historias de Usuario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CDFCI)</w:t>
            </w:r>
          </w:p>
          <w:p w14:paraId="2042A324" w14:textId="0E13FA0A" w:rsidR="008518BA" w:rsidRPr="008518BA" w:rsidRDefault="008518BA" w:rsidP="008518B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E1748E4" w14:textId="09381DD8" w:rsidR="008518BA" w:rsidRDefault="003325AF" w:rsidP="00890CD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(Modificación de Historias de Usuario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cliente aprobó esta historia de usuario solo hubo unas observaciones en cuanto al tamaño correcto de la tabla de consultas </w:t>
            </w:r>
            <w:proofErr w:type="spellStart"/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</w:t>
            </w:r>
            <w:proofErr w:type="spellEnd"/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como tanto, agregar un ComboBox en el campo de prioridad y quitar el mensaje innecesario al momento de modificar la HU.</w:t>
            </w:r>
            <w:r w:rsidR="006F3D68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GBJA)</w:t>
            </w:r>
          </w:p>
          <w:p w14:paraId="28FE3A89" w14:textId="77777777" w:rsidR="00515A6D" w:rsidRPr="00515A6D" w:rsidRDefault="00515A6D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14F8C6F" w14:textId="77777777" w:rsidR="00515A6D" w:rsidRPr="00515A6D" w:rsidRDefault="00515A6D" w:rsidP="00890CD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42F31D96" w:rsidR="008518BA" w:rsidRPr="008518BA" w:rsidRDefault="00442C4E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HU10 (Ver Historias de Usuario</w:t>
            </w:r>
            <w:r w:rsidR="007E1B1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JHLO)</w:t>
            </w: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185D74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DC1C9AC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185D74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3874726B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Osvaldo Juanes Hinojosa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5E628926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Luis Osvaldo Jananes Hinojosa</w:t>
            </w:r>
          </w:p>
        </w:tc>
      </w:tr>
      <w:tr w:rsidR="00185D74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05346374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  <w:bookmarkStart w:id="3" w:name="_GoBack"/>
        <w:bookmarkEnd w:id="3"/>
      </w:tr>
      <w:tr w:rsidR="00185D74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7EB0C86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Andrés Chávez Hernández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45D81B27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José Andrés Chávez Hernández</w:t>
            </w:r>
          </w:p>
        </w:tc>
      </w:tr>
      <w:tr w:rsidR="00185D74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23653B19" w:rsidR="00185D74" w:rsidRPr="00442C4E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42C4E">
              <w:rPr>
                <w:rFonts w:ascii="Arial" w:hAnsi="Arial" w:cs="Arial"/>
              </w:rPr>
              <w:t>Clara Ivette Cerrillo de la Fuente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0E9681FC" w:rsidR="00185D74" w:rsidRDefault="00185D74" w:rsidP="00185D7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Clara Ivette Cerrillo de la Fuente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5BFA3" w14:textId="77777777" w:rsidR="00FB3F6E" w:rsidRDefault="00FB3F6E" w:rsidP="006B19D4">
      <w:pPr>
        <w:spacing w:after="0" w:line="240" w:lineRule="auto"/>
      </w:pPr>
      <w:r>
        <w:separator/>
      </w:r>
    </w:p>
  </w:endnote>
  <w:endnote w:type="continuationSeparator" w:id="0">
    <w:p w14:paraId="695D8B89" w14:textId="77777777" w:rsidR="00FB3F6E" w:rsidRDefault="00FB3F6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42893" w14:textId="77777777" w:rsidR="00FB3F6E" w:rsidRDefault="00FB3F6E" w:rsidP="006B19D4">
      <w:pPr>
        <w:spacing w:after="0" w:line="240" w:lineRule="auto"/>
      </w:pPr>
      <w:r>
        <w:separator/>
      </w:r>
    </w:p>
  </w:footnote>
  <w:footnote w:type="continuationSeparator" w:id="0">
    <w:p w14:paraId="3AF3E4D5" w14:textId="77777777" w:rsidR="00FB3F6E" w:rsidRDefault="00FB3F6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5D880BA5" w:rsidR="006862E8" w:rsidRDefault="00F82DF4" w:rsidP="006862E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733A164" wp14:editId="4C91ADD6">
          <wp:simplePos x="0" y="0"/>
          <wp:positionH relativeFrom="margin">
            <wp:posOffset>-558165</wp:posOffset>
          </wp:positionH>
          <wp:positionV relativeFrom="paragraph">
            <wp:posOffset>-287655</wp:posOffset>
          </wp:positionV>
          <wp:extent cx="1085850" cy="47879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18-09-03 at 6.40.55 PM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478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85D7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85D7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D5B39-FAE1-4F0A-8085-0C136FD5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El Armandito</cp:lastModifiedBy>
  <cp:revision>14</cp:revision>
  <cp:lastPrinted>2018-02-09T13:22:00Z</cp:lastPrinted>
  <dcterms:created xsi:type="dcterms:W3CDTF">2018-09-19T13:34:00Z</dcterms:created>
  <dcterms:modified xsi:type="dcterms:W3CDTF">2018-11-14T22:51:00Z</dcterms:modified>
</cp:coreProperties>
</file>