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EFA3" w14:textId="77777777" w:rsidR="00044E1F" w:rsidRPr="00ED5B35" w:rsidRDefault="00CB4C6D">
      <w:pPr>
        <w:spacing w:after="160"/>
        <w:rPr>
          <w:lang w:val="es-CO"/>
        </w:rPr>
      </w:pPr>
      <w:r w:rsidRPr="00ED5B35">
        <w:rPr>
          <w:rFonts w:ascii="Aptos Display" w:hAnsi="Aptos Display"/>
          <w:b/>
          <w:color w:val="222D42"/>
          <w:sz w:val="22"/>
          <w:lang w:val="es-CO"/>
        </w:rPr>
        <w:t>XCALE | MIDAS Capital</w:t>
      </w:r>
    </w:p>
    <w:p w14:paraId="6FCE23DE" w14:textId="77777777" w:rsidR="00044E1F" w:rsidRPr="00ED5B35" w:rsidRDefault="00CB4C6D">
      <w:pPr>
        <w:pStyle w:val="Ttulo"/>
        <w:spacing w:before="360" w:after="80" w:line="252" w:lineRule="auto"/>
        <w:rPr>
          <w:lang w:val="es-CO"/>
        </w:rPr>
      </w:pPr>
      <w:r w:rsidRPr="00ED5B35">
        <w:rPr>
          <w:lang w:val="es-CO"/>
        </w:rPr>
        <w:t>Oferta comercial ejecutiva</w:t>
      </w:r>
    </w:p>
    <w:p w14:paraId="5242EBD1" w14:textId="77777777" w:rsidR="00044E1F" w:rsidRPr="00ED5B35" w:rsidRDefault="00CB4C6D">
      <w:pPr>
        <w:spacing w:after="360"/>
        <w:rPr>
          <w:lang w:val="es-CO"/>
        </w:rPr>
      </w:pPr>
      <w:r w:rsidRPr="00ED5B35">
        <w:rPr>
          <w:i/>
          <w:color w:val="5A5A5A"/>
          <w:sz w:val="23"/>
          <w:lang w:val="es-CO"/>
        </w:rPr>
        <w:t>Expansión internacional, estructuración corporativa y acceso a financiación en Europa</w:t>
      </w:r>
    </w:p>
    <w:p w14:paraId="6C5D879E" w14:textId="77777777" w:rsidR="00044E1F" w:rsidRPr="00ED5B35" w:rsidRDefault="00CB4C6D">
      <w:pPr>
        <w:spacing w:after="60"/>
        <w:rPr>
          <w:lang w:val="es-CO"/>
        </w:rPr>
      </w:pPr>
      <w:r w:rsidRPr="00ED5B35">
        <w:rPr>
          <w:b/>
          <w:color w:val="222D42"/>
          <w:lang w:val="es-CO"/>
        </w:rPr>
        <w:t xml:space="preserve">Dirigido a: </w:t>
      </w:r>
      <w:r w:rsidRPr="00ED5B35">
        <w:rPr>
          <w:lang w:val="es-CO"/>
        </w:rPr>
        <w:t>Empresas latinoamericanas con interés de expansión en Europa</w:t>
      </w:r>
    </w:p>
    <w:p w14:paraId="5B28984E" w14:textId="77777777" w:rsidR="00044E1F" w:rsidRPr="00ED5B35" w:rsidRDefault="00CB4C6D">
      <w:pPr>
        <w:spacing w:after="60"/>
        <w:rPr>
          <w:lang w:val="es-CO"/>
        </w:rPr>
      </w:pPr>
      <w:r w:rsidRPr="00ED5B35">
        <w:rPr>
          <w:b/>
          <w:color w:val="222D42"/>
          <w:lang w:val="es-CO"/>
        </w:rPr>
        <w:t xml:space="preserve">Fecha: </w:t>
      </w:r>
      <w:r w:rsidRPr="00ED5B35">
        <w:rPr>
          <w:lang w:val="es-CO"/>
        </w:rPr>
        <w:t>11 de abril de 2026</w:t>
      </w:r>
    </w:p>
    <w:p w14:paraId="3F67D55B" w14:textId="77777777" w:rsidR="00044E1F" w:rsidRPr="00ED5B35" w:rsidRDefault="00CB4C6D">
      <w:pPr>
        <w:spacing w:before="320"/>
        <w:rPr>
          <w:lang w:val="es-CO"/>
        </w:rPr>
      </w:pPr>
      <w:r w:rsidRPr="00ED5B35">
        <w:rPr>
          <w:color w:val="4B4B4B"/>
          <w:lang w:val="es-CO"/>
        </w:rPr>
        <w:t>Documento preparado para presentar una propuesta institucional de servicios internacionales orientada a expansión empresarial, estructuración corporativa y acceso a financiación en Europa.</w:t>
      </w:r>
    </w:p>
    <w:p w14:paraId="0D70E8EA" w14:textId="77777777" w:rsidR="00044E1F" w:rsidRPr="00ED5B35" w:rsidRDefault="00CB4C6D">
      <w:pPr>
        <w:spacing w:after="160"/>
        <w:rPr>
          <w:lang w:val="es-CO"/>
        </w:rPr>
      </w:pPr>
      <w:r w:rsidRPr="00ED5B35">
        <w:rPr>
          <w:lang w:val="es-CO"/>
        </w:rPr>
        <w:t xml:space="preserve"> </w:t>
      </w:r>
    </w:p>
    <w:p w14:paraId="3FA41F37" w14:textId="77777777" w:rsidR="00044E1F" w:rsidRPr="00ED5B35" w:rsidRDefault="00CB4C6D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t>Resumen ejecutivo</w:t>
      </w:r>
    </w:p>
    <w:p w14:paraId="164E6264" w14:textId="77777777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>Europa ofrece una oportunidad tangible para compañías latinoamericanas que buscan ampliar su presencia comercial, diversificar fuentes de ingreso y acceder a nuevas alternativas de financiación. Sin embargo, una entrada exitosa al mercado europeo exige algo más que una decisión estratégica: requiere una estructura societaria funcional, cumplimiento documental, narrativa institucional creíble y capacidad real de ejecución frente a terceros.</w:t>
      </w:r>
    </w:p>
    <w:p w14:paraId="58214EE6" w14:textId="77777777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>XCALE | MIDAS Capital acompaña a empresas latinoamericanas en el diseño y materialización de su expansión en Europa, con especial foco en España, mediante una propuesta integrada que combina estructuración corporativa, acceso a financiación pública no dilutiva, soluciones de financiación privada y preparación institucional para interactuar con financiadores, entidades y contrapartes sofisticadas. Nuestro enfoque está orientado a convertir una intención de crecimiento en una ruta concreta, ordenada y financi</w:t>
      </w:r>
      <w:r w:rsidRPr="00ED5B35">
        <w:rPr>
          <w:lang w:val="es-CO"/>
        </w:rPr>
        <w:t>able.</w:t>
      </w:r>
    </w:p>
    <w:p w14:paraId="10DCACB8" w14:textId="77777777" w:rsidR="00044E1F" w:rsidRPr="00ED5B35" w:rsidRDefault="00CB4C6D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t>Quiénes somos</w:t>
      </w:r>
    </w:p>
    <w:p w14:paraId="06E2889F" w14:textId="77777777" w:rsidR="00FF7FBE" w:rsidRPr="00ED5B35" w:rsidRDefault="00FF7FBE" w:rsidP="00FF7FBE">
      <w:pPr>
        <w:spacing w:after="100" w:line="269" w:lineRule="auto"/>
        <w:rPr>
          <w:lang w:val="es-CO"/>
        </w:rPr>
      </w:pPr>
      <w:r w:rsidRPr="00ED5B35">
        <w:rPr>
          <w:b/>
          <w:bCs/>
          <w:lang w:val="es-CO"/>
        </w:rPr>
        <w:t>XCALE | MIDAS Capital</w:t>
      </w:r>
      <w:r w:rsidRPr="00ED5B35">
        <w:rPr>
          <w:lang w:val="es-CO"/>
        </w:rPr>
        <w:t xml:space="preserve"> es una alianza estratégica enfocada en arquitectura de ejecución para operaciones corporativas y financieras con componente internacional.</w:t>
      </w:r>
    </w:p>
    <w:p w14:paraId="3BA00172" w14:textId="77777777" w:rsidR="00FF7FBE" w:rsidRPr="00ED5B35" w:rsidRDefault="00FF7FBE" w:rsidP="00FF7FBE">
      <w:pPr>
        <w:spacing w:after="100" w:line="269" w:lineRule="auto"/>
        <w:rPr>
          <w:lang w:val="es-CO"/>
        </w:rPr>
      </w:pPr>
      <w:r w:rsidRPr="00ED5B35">
        <w:rPr>
          <w:lang w:val="es-CO"/>
        </w:rPr>
        <w:t>Combinamos experiencia en estructuración de negocios, banca de inversión, preparación de materiales ejecutivos y financieros, diseño de estrategias de capital y coordinación de procesos complejos que requieren interlocución con asesores, entidades, financiadores y contrapartes institucionales.</w:t>
      </w:r>
    </w:p>
    <w:p w14:paraId="1A6ACC13" w14:textId="77777777" w:rsidR="002C544C" w:rsidRPr="00ED5B35" w:rsidRDefault="002C544C" w:rsidP="002C544C">
      <w:pPr>
        <w:spacing w:after="100" w:line="269" w:lineRule="auto"/>
        <w:rPr>
          <w:lang w:val="es-CO"/>
        </w:rPr>
      </w:pPr>
      <w:r w:rsidRPr="00ED5B35">
        <w:rPr>
          <w:lang w:val="es-CO"/>
        </w:rPr>
        <w:t>Nuestro enfoque parte de una convicción simple: las operaciones internacionales no se destraban únicamente con contactos. Se destraban con criterio, disciplina de ejecución, claridad en la estructura y una presentación creíble frente a terceros.</w:t>
      </w:r>
    </w:p>
    <w:p w14:paraId="6D8BEA69" w14:textId="0E77D036" w:rsidR="00044E1F" w:rsidRPr="00ED5B35" w:rsidRDefault="002C544C">
      <w:pPr>
        <w:spacing w:after="100" w:line="269" w:lineRule="auto"/>
        <w:rPr>
          <w:lang w:val="es-CO"/>
        </w:rPr>
      </w:pPr>
      <w:r>
        <w:rPr>
          <w:lang w:val="es-CO"/>
        </w:rPr>
        <w:t>Por esta razón</w:t>
      </w:r>
      <w:r w:rsidR="00CB4C6D" w:rsidRPr="00ED5B35">
        <w:rPr>
          <w:lang w:val="es-CO"/>
        </w:rPr>
        <w:t xml:space="preserve"> trabaja</w:t>
      </w:r>
      <w:r>
        <w:rPr>
          <w:lang w:val="es-CO"/>
        </w:rPr>
        <w:t>mos</w:t>
      </w:r>
      <w:r w:rsidR="00CB4C6D" w:rsidRPr="00ED5B35">
        <w:rPr>
          <w:lang w:val="es-CO"/>
        </w:rPr>
        <w:t xml:space="preserve"> con una lógica eminentemente práctica: identificar la ruta más conveniente, ordenar la estructura necesaria, preparar al cliente con un estándar institucional sólido y acompañar la ejecución con disciplina comercial y técnica. El objetivo no es únicamente diseñar una alternativa sobre el papel, sino facilitar que dicha alternativa se vuelva ejecutable en la práctica.</w:t>
      </w:r>
    </w:p>
    <w:p w14:paraId="0807C1E9" w14:textId="77777777" w:rsidR="00ED5B35" w:rsidRPr="00ED5B35" w:rsidRDefault="00ED5B35" w:rsidP="00ED5B35">
      <w:pPr>
        <w:spacing w:after="100" w:line="269" w:lineRule="auto"/>
        <w:rPr>
          <w:lang w:val="es-CO"/>
        </w:rPr>
      </w:pPr>
      <w:r w:rsidRPr="00ED5B35">
        <w:rPr>
          <w:b/>
          <w:bCs/>
          <w:lang w:val="es-CO"/>
        </w:rPr>
        <w:t>(Incluir aquí: perfil del equipo directivo, experiencia relevante, sectores atendidos, jurisdicciones de trabajo y credenciales comerciales verificables.)</w:t>
      </w:r>
    </w:p>
    <w:p w14:paraId="25B51015" w14:textId="77777777" w:rsidR="00ED5B35" w:rsidRPr="00ED5B35" w:rsidRDefault="00ED5B35">
      <w:pPr>
        <w:spacing w:after="100" w:line="269" w:lineRule="auto"/>
        <w:rPr>
          <w:lang w:val="es-CO"/>
        </w:rPr>
      </w:pPr>
    </w:p>
    <w:p w14:paraId="02753D50" w14:textId="77777777" w:rsidR="00ED5B35" w:rsidRPr="00ED5B35" w:rsidRDefault="00ED5B35">
      <w:pPr>
        <w:spacing w:after="100" w:line="269" w:lineRule="auto"/>
        <w:rPr>
          <w:lang w:val="es-CO"/>
        </w:rPr>
      </w:pPr>
    </w:p>
    <w:p w14:paraId="2BACA6F9" w14:textId="77777777" w:rsidR="00044E1F" w:rsidRPr="00ED5B35" w:rsidRDefault="00CB4C6D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lastRenderedPageBreak/>
        <w:t>Propuesta de valor</w:t>
      </w:r>
    </w:p>
    <w:p w14:paraId="0B68CC35" w14:textId="77777777" w:rsidR="00583F89" w:rsidRPr="00583F89" w:rsidRDefault="00583F89" w:rsidP="00583F89">
      <w:pPr>
        <w:pStyle w:val="Ttulo1"/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Acompañamos al cliente en cuatro frentes que, bien coordinados, aumentan significativamente la probabilidad de una expansión exitosa en Europa.</w:t>
      </w:r>
    </w:p>
    <w:p w14:paraId="0ADBCC7D" w14:textId="79D0382E" w:rsidR="00583F89" w:rsidRPr="00DC267A" w:rsidRDefault="00583F89" w:rsidP="00583F89">
      <w:pPr>
        <w:pStyle w:val="Ttulo1"/>
        <w:spacing w:before="160" w:after="80" w:line="264" w:lineRule="auto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DC267A">
        <w:rPr>
          <w:rFonts w:ascii="Aptos" w:eastAsia="Aptos" w:hAnsi="Aptos" w:cstheme="minorBidi"/>
          <w:color w:val="2D2D2D"/>
          <w:sz w:val="21"/>
          <w:szCs w:val="22"/>
          <w:lang w:val="es-CO"/>
        </w:rPr>
        <w:t>Estructuración de presencia corporativa en España o Europa</w:t>
      </w:r>
    </w:p>
    <w:p w14:paraId="1EAD08B1" w14:textId="77777777" w:rsidR="00583F89" w:rsidRPr="00583F89" w:rsidRDefault="00583F89" w:rsidP="00DC267A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Ayudamos al cliente a definir e implementar la ruta societaria más conveniente para contar con presencia funcional en Europa. Esto puede incluir la constitución de una nueva sociedad o el acompañamiento en la identificación y adquisición de un vehículo corporativo existente, cuando esa alternativa resulte más eficiente para los fines del proyecto.</w:t>
      </w:r>
    </w:p>
    <w:p w14:paraId="1BE23015" w14:textId="77777777" w:rsidR="00583F89" w:rsidRPr="00DC267A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DC267A">
        <w:rPr>
          <w:rFonts w:ascii="Aptos" w:eastAsia="Aptos" w:hAnsi="Aptos" w:cstheme="minorBidi"/>
          <w:color w:val="2D2D2D"/>
          <w:sz w:val="21"/>
          <w:szCs w:val="22"/>
          <w:lang w:val="es-CO"/>
        </w:rPr>
        <w:t>Alcance típico:</w:t>
      </w:r>
    </w:p>
    <w:p w14:paraId="7E43C921" w14:textId="2FF9509D" w:rsidR="00583F89" w:rsidRPr="00583F89" w:rsidRDefault="002135E9" w:rsidP="00DC267A">
      <w:pPr>
        <w:pStyle w:val="Ttulo1"/>
        <w:numPr>
          <w:ilvl w:val="0"/>
          <w:numId w:val="10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D</w:t>
      </w:r>
      <w:r w:rsidR="00583F89"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iagnóstico inicial de necesidades y objetivos;</w:t>
      </w:r>
    </w:p>
    <w:p w14:paraId="0987F4A6" w14:textId="145A6339" w:rsidR="00583F89" w:rsidRPr="00583F89" w:rsidRDefault="002135E9" w:rsidP="00DC267A">
      <w:pPr>
        <w:pStyle w:val="Ttulo1"/>
        <w:numPr>
          <w:ilvl w:val="0"/>
          <w:numId w:val="10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E</w:t>
      </w:r>
      <w:r w:rsidR="00583F89"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valuación de alternativas de entrada;</w:t>
      </w:r>
    </w:p>
    <w:p w14:paraId="3FC128F2" w14:textId="7C9FFF6F" w:rsidR="00583F89" w:rsidRPr="00583F89" w:rsidRDefault="002135E9" w:rsidP="00DC267A">
      <w:pPr>
        <w:pStyle w:val="Ttulo1"/>
        <w:numPr>
          <w:ilvl w:val="0"/>
          <w:numId w:val="10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I</w:t>
      </w:r>
      <w:r w:rsidR="00583F89"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dentificación preliminar de vehículo elegible o estructura adecuada;</w:t>
      </w:r>
    </w:p>
    <w:p w14:paraId="704C9EEF" w14:textId="3A575741" w:rsidR="00583F89" w:rsidRPr="00583F89" w:rsidRDefault="002135E9" w:rsidP="00DC267A">
      <w:pPr>
        <w:pStyle w:val="Ttulo1"/>
        <w:numPr>
          <w:ilvl w:val="0"/>
          <w:numId w:val="10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</w:t>
      </w:r>
      <w:r w:rsidR="00583F89"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compañamiento estratégico en compra o constitución;</w:t>
      </w:r>
    </w:p>
    <w:p w14:paraId="467A1A8E" w14:textId="08680E5B" w:rsidR="00583F89" w:rsidRPr="00583F89" w:rsidRDefault="002135E9" w:rsidP="00DC267A">
      <w:pPr>
        <w:pStyle w:val="Ttulo1"/>
        <w:numPr>
          <w:ilvl w:val="0"/>
          <w:numId w:val="10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C</w:t>
      </w:r>
      <w:r w:rsidR="00583F89"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oordinación de requerimientos documentales y de implementación.</w:t>
      </w:r>
    </w:p>
    <w:p w14:paraId="55598A6F" w14:textId="47B83C0D" w:rsidR="00583F89" w:rsidRPr="00740327" w:rsidRDefault="00583F89" w:rsidP="00740327">
      <w:pPr>
        <w:pStyle w:val="Ttulo1"/>
        <w:spacing w:before="160" w:after="80" w:line="264" w:lineRule="auto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740327">
        <w:rPr>
          <w:rFonts w:ascii="Aptos" w:eastAsia="Aptos" w:hAnsi="Aptos" w:cstheme="minorBidi"/>
          <w:color w:val="2D2D2D"/>
          <w:sz w:val="21"/>
          <w:szCs w:val="22"/>
          <w:lang w:val="es-CO"/>
        </w:rPr>
        <w:t>Gestión de financiación pública no dilutiva</w:t>
      </w:r>
    </w:p>
    <w:p w14:paraId="69522393" w14:textId="77777777" w:rsidR="00583F89" w:rsidRPr="00583F8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Apoyamos al cliente en la identificación, priorización, estructuración y presentación de solicitudes para acceder a subvenciones, ayudas e instrumentos de financiación pública disponibles en España o en otras jurisdicciones europeas, cuando el perfil del proyecto cumpla condiciones de elegibilidad.</w:t>
      </w:r>
    </w:p>
    <w:p w14:paraId="19819169" w14:textId="77777777" w:rsidR="00583F89" w:rsidRPr="002135E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2135E9">
        <w:rPr>
          <w:rFonts w:ascii="Aptos" w:eastAsia="Aptos" w:hAnsi="Aptos" w:cstheme="minorBidi"/>
          <w:color w:val="2D2D2D"/>
          <w:sz w:val="21"/>
          <w:szCs w:val="22"/>
          <w:lang w:val="es-CO"/>
        </w:rPr>
        <w:t>Alcance típico:</w:t>
      </w:r>
    </w:p>
    <w:p w14:paraId="0B41EB5C" w14:textId="77777777" w:rsidR="00583F89" w:rsidRPr="00583F89" w:rsidRDefault="00583F89" w:rsidP="002135E9">
      <w:pPr>
        <w:pStyle w:val="Ttulo1"/>
        <w:numPr>
          <w:ilvl w:val="0"/>
          <w:numId w:val="11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scouting de convocatorias y programas aplicables;</w:t>
      </w:r>
    </w:p>
    <w:p w14:paraId="7AEED992" w14:textId="77777777" w:rsidR="00583F89" w:rsidRPr="00583F89" w:rsidRDefault="00583F89" w:rsidP="002135E9">
      <w:pPr>
        <w:pStyle w:val="Ttulo1"/>
        <w:numPr>
          <w:ilvl w:val="0"/>
          <w:numId w:val="11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evaluación preliminar de elegibilidad;</w:t>
      </w:r>
    </w:p>
    <w:p w14:paraId="381DBC3D" w14:textId="77777777" w:rsidR="00583F89" w:rsidRPr="00583F89" w:rsidRDefault="00583F89" w:rsidP="002135E9">
      <w:pPr>
        <w:pStyle w:val="Ttulo1"/>
        <w:numPr>
          <w:ilvl w:val="0"/>
          <w:numId w:val="11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priorización de oportunidades;</w:t>
      </w:r>
    </w:p>
    <w:p w14:paraId="67CB2FEC" w14:textId="77777777" w:rsidR="00583F89" w:rsidRPr="00583F89" w:rsidRDefault="00583F89" w:rsidP="002135E9">
      <w:pPr>
        <w:pStyle w:val="Ttulo1"/>
        <w:numPr>
          <w:ilvl w:val="0"/>
          <w:numId w:val="11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estructuración narrativa, técnica y financiera de la solicitud;</w:t>
      </w:r>
    </w:p>
    <w:p w14:paraId="78FA60AD" w14:textId="77777777" w:rsidR="00583F89" w:rsidRPr="00583F89" w:rsidRDefault="00583F89" w:rsidP="002135E9">
      <w:pPr>
        <w:pStyle w:val="Ttulo1"/>
        <w:numPr>
          <w:ilvl w:val="0"/>
          <w:numId w:val="11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diligenciamiento de formularios y acompañamiento en la presentación.</w:t>
      </w:r>
    </w:p>
    <w:p w14:paraId="385BB4ED" w14:textId="73B5932B" w:rsidR="00583F89" w:rsidRPr="002135E9" w:rsidRDefault="00583F89" w:rsidP="00583F89">
      <w:pPr>
        <w:pStyle w:val="Ttulo1"/>
        <w:spacing w:before="160" w:after="80" w:line="264" w:lineRule="auto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2135E9">
        <w:rPr>
          <w:rFonts w:ascii="Aptos" w:eastAsia="Aptos" w:hAnsi="Aptos" w:cstheme="minorBidi"/>
          <w:color w:val="2D2D2D"/>
          <w:sz w:val="21"/>
          <w:szCs w:val="22"/>
          <w:lang w:val="es-CO"/>
        </w:rPr>
        <w:t>Financiación privada para expansión y liquidez internacional</w:t>
      </w:r>
    </w:p>
    <w:p w14:paraId="656FD428" w14:textId="77777777" w:rsidR="00583F89" w:rsidRPr="00583F8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Acompañamos la estructuración de alternativas de financiación privada para respaldar el crecimiento del cliente en Europa, incluyendo soluciones orientadas a liquidez, capital de trabajo y soporte comercial internacional, tales como factoring, confirming y otros esquemas comparables compatibles con la operación.</w:t>
      </w:r>
    </w:p>
    <w:p w14:paraId="1FE45CB3" w14:textId="77777777" w:rsidR="00583F89" w:rsidRPr="00583F8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2135E9">
        <w:rPr>
          <w:rFonts w:ascii="Aptos" w:eastAsia="Aptos" w:hAnsi="Aptos" w:cstheme="minorBidi"/>
          <w:color w:val="2D2D2D"/>
          <w:sz w:val="21"/>
          <w:szCs w:val="22"/>
          <w:lang w:val="es-CO"/>
        </w:rPr>
        <w:t>Alcance</w:t>
      </w: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 xml:space="preserve"> típico:</w:t>
      </w:r>
    </w:p>
    <w:p w14:paraId="1F722FB0" w14:textId="77777777" w:rsidR="00583F89" w:rsidRPr="00583F89" w:rsidRDefault="00583F89" w:rsidP="002135E9">
      <w:pPr>
        <w:pStyle w:val="Ttulo1"/>
        <w:numPr>
          <w:ilvl w:val="0"/>
          <w:numId w:val="12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diagnóstico financiero inicial;</w:t>
      </w:r>
    </w:p>
    <w:p w14:paraId="7A9C4162" w14:textId="77777777" w:rsidR="00583F89" w:rsidRPr="00583F89" w:rsidRDefault="00583F89" w:rsidP="002135E9">
      <w:pPr>
        <w:pStyle w:val="Ttulo1"/>
        <w:numPr>
          <w:ilvl w:val="0"/>
          <w:numId w:val="12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estructuración del caso de financiación;</w:t>
      </w:r>
    </w:p>
    <w:p w14:paraId="5785539F" w14:textId="77777777" w:rsidR="00583F89" w:rsidRPr="00583F89" w:rsidRDefault="00583F89" w:rsidP="002135E9">
      <w:pPr>
        <w:pStyle w:val="Ttulo1"/>
        <w:numPr>
          <w:ilvl w:val="0"/>
          <w:numId w:val="12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lastRenderedPageBreak/>
        <w:t>preparación de materiales para terceros;</w:t>
      </w:r>
    </w:p>
    <w:p w14:paraId="30E5E0E4" w14:textId="77777777" w:rsidR="00583F89" w:rsidRPr="00583F89" w:rsidRDefault="00583F89" w:rsidP="002135E9">
      <w:pPr>
        <w:pStyle w:val="Ttulo1"/>
        <w:numPr>
          <w:ilvl w:val="0"/>
          <w:numId w:val="12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identificación y acercamiento preliminar a potenciales financiadores;</w:t>
      </w:r>
    </w:p>
    <w:p w14:paraId="7DF15467" w14:textId="77777777" w:rsidR="00583F89" w:rsidRPr="00583F89" w:rsidRDefault="00583F89" w:rsidP="002135E9">
      <w:pPr>
        <w:pStyle w:val="Ttulo1"/>
        <w:numPr>
          <w:ilvl w:val="0"/>
          <w:numId w:val="12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acompañamiento comercial en el proceso de interacción.</w:t>
      </w:r>
    </w:p>
    <w:p w14:paraId="2E4001DC" w14:textId="6C27A7DC" w:rsidR="00583F89" w:rsidRPr="002135E9" w:rsidRDefault="00583F89" w:rsidP="00583F89">
      <w:pPr>
        <w:pStyle w:val="Ttulo1"/>
        <w:spacing w:before="160" w:after="80" w:line="264" w:lineRule="auto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2135E9">
        <w:rPr>
          <w:rFonts w:ascii="Aptos" w:eastAsia="Aptos" w:hAnsi="Aptos" w:cstheme="minorBidi"/>
          <w:color w:val="2D2D2D"/>
          <w:sz w:val="21"/>
          <w:szCs w:val="22"/>
          <w:lang w:val="es-CO"/>
        </w:rPr>
        <w:t>Preparación institucional y comercial</w:t>
      </w:r>
    </w:p>
    <w:p w14:paraId="13CDAED0" w14:textId="77777777" w:rsidR="00583F89" w:rsidRPr="00583F8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Fortalecemos la forma en que el cliente se presenta frente a inversionistas, financiadores, entidades y contrapartes. En operaciones cross-border, la calidad de la narrativa y la consistencia de la información son determinantes.</w:t>
      </w:r>
    </w:p>
    <w:p w14:paraId="379B54D2" w14:textId="77777777" w:rsidR="00583F89" w:rsidRPr="002135E9" w:rsidRDefault="00583F89" w:rsidP="002135E9">
      <w:pPr>
        <w:pStyle w:val="Ttulo1"/>
        <w:spacing w:before="160" w:after="80" w:line="264" w:lineRule="auto"/>
        <w:ind w:left="720"/>
        <w:rPr>
          <w:rFonts w:ascii="Aptos" w:eastAsia="Aptos" w:hAnsi="Aptos" w:cstheme="minorBidi"/>
          <w:color w:val="2D2D2D"/>
          <w:sz w:val="21"/>
          <w:szCs w:val="22"/>
          <w:lang w:val="es-CO"/>
        </w:rPr>
      </w:pPr>
      <w:r w:rsidRPr="002135E9">
        <w:rPr>
          <w:rFonts w:ascii="Aptos" w:eastAsia="Aptos" w:hAnsi="Aptos" w:cstheme="minorBidi"/>
          <w:color w:val="2D2D2D"/>
          <w:sz w:val="21"/>
          <w:szCs w:val="22"/>
          <w:lang w:val="es-CO"/>
        </w:rPr>
        <w:t>Alcance típico:</w:t>
      </w:r>
    </w:p>
    <w:p w14:paraId="0D6AE308" w14:textId="77777777" w:rsidR="00583F89" w:rsidRPr="00583F89" w:rsidRDefault="00583F89" w:rsidP="002135E9">
      <w:pPr>
        <w:pStyle w:val="Ttulo1"/>
        <w:numPr>
          <w:ilvl w:val="0"/>
          <w:numId w:val="13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revisión y ajuste del equity story o narrativa de expansión;</w:t>
      </w:r>
    </w:p>
    <w:p w14:paraId="589451FE" w14:textId="77777777" w:rsidR="00583F89" w:rsidRPr="00583F89" w:rsidRDefault="00583F89" w:rsidP="002135E9">
      <w:pPr>
        <w:pStyle w:val="Ttulo1"/>
        <w:numPr>
          <w:ilvl w:val="0"/>
          <w:numId w:val="13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preparación de presentación ejecutiva o financiera;</w:t>
      </w:r>
    </w:p>
    <w:p w14:paraId="4D1A5DEE" w14:textId="77777777" w:rsidR="00583F89" w:rsidRPr="00583F89" w:rsidRDefault="00583F89" w:rsidP="002135E9">
      <w:pPr>
        <w:pStyle w:val="Ttulo1"/>
        <w:numPr>
          <w:ilvl w:val="0"/>
          <w:numId w:val="13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organización de información crítica para revisión preliminar;</w:t>
      </w:r>
    </w:p>
    <w:p w14:paraId="4B66A55E" w14:textId="77777777" w:rsidR="00DC267A" w:rsidRDefault="00583F89" w:rsidP="002135E9">
      <w:pPr>
        <w:pStyle w:val="Ttulo1"/>
        <w:numPr>
          <w:ilvl w:val="0"/>
          <w:numId w:val="13"/>
        </w:numPr>
        <w:spacing w:before="160" w:after="80" w:line="264" w:lineRule="auto"/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</w:pPr>
      <w:r w:rsidRPr="00583F89">
        <w:rPr>
          <w:rFonts w:ascii="Aptos" w:eastAsia="Aptos" w:hAnsi="Aptos" w:cstheme="minorBidi"/>
          <w:b w:val="0"/>
          <w:bCs w:val="0"/>
          <w:color w:val="2D2D2D"/>
          <w:sz w:val="21"/>
          <w:szCs w:val="22"/>
          <w:lang w:val="es-CO"/>
        </w:rPr>
        <w:t>preparación para reuniones estratégicas con terceros.</w:t>
      </w:r>
    </w:p>
    <w:p w14:paraId="049687BE" w14:textId="4DC2F610" w:rsidR="00044E1F" w:rsidRPr="00ED5B35" w:rsidRDefault="00CB4C6D" w:rsidP="00583F89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t>M</w:t>
      </w:r>
      <w:r w:rsidRPr="00ED5B35">
        <w:rPr>
          <w:lang w:val="es-CO"/>
        </w:rPr>
        <w:t>etodología de trabajo</w:t>
      </w:r>
    </w:p>
    <w:p w14:paraId="5A47130F" w14:textId="77777777" w:rsidR="00875D05" w:rsidRPr="00875D05" w:rsidRDefault="00875D05" w:rsidP="00875D05">
      <w:pPr>
        <w:spacing w:after="100" w:line="269" w:lineRule="auto"/>
        <w:rPr>
          <w:lang w:val="es-CO"/>
        </w:rPr>
      </w:pPr>
      <w:r w:rsidRPr="00875D05">
        <w:rPr>
          <w:lang w:val="es-CO"/>
        </w:rPr>
        <w:t>Nuestra metodología integra cuatro etapas:</w:t>
      </w:r>
    </w:p>
    <w:p w14:paraId="73B31F02" w14:textId="77777777" w:rsidR="00875D05" w:rsidRPr="00875D05" w:rsidRDefault="00875D05" w:rsidP="00875D05">
      <w:pPr>
        <w:spacing w:after="100" w:line="269" w:lineRule="auto"/>
        <w:rPr>
          <w:b/>
          <w:bCs/>
          <w:lang w:val="es-CO"/>
        </w:rPr>
      </w:pPr>
      <w:r w:rsidRPr="00875D05">
        <w:rPr>
          <w:b/>
          <w:bCs/>
          <w:lang w:val="es-CO"/>
        </w:rPr>
        <w:t>Diagnóstico</w:t>
      </w:r>
    </w:p>
    <w:p w14:paraId="39B98A89" w14:textId="77777777" w:rsidR="00875D05" w:rsidRPr="00875D05" w:rsidRDefault="00875D05" w:rsidP="00875D05">
      <w:pPr>
        <w:spacing w:after="100" w:line="269" w:lineRule="auto"/>
        <w:rPr>
          <w:lang w:val="es-CO"/>
        </w:rPr>
      </w:pPr>
      <w:r w:rsidRPr="00875D05">
        <w:rPr>
          <w:lang w:val="es-CO"/>
        </w:rPr>
        <w:t>Entendemos el punto de partida del cliente, su modelo de negocio, los objetivos de expansión, la necesidad de financiación y las restricciones operativas, regulatorias o documentales.</w:t>
      </w:r>
    </w:p>
    <w:p w14:paraId="1E047886" w14:textId="77777777" w:rsidR="00875D05" w:rsidRPr="00875D05" w:rsidRDefault="00875D05" w:rsidP="00875D05">
      <w:pPr>
        <w:spacing w:after="100" w:line="269" w:lineRule="auto"/>
        <w:rPr>
          <w:b/>
          <w:bCs/>
          <w:lang w:val="es-CO"/>
        </w:rPr>
      </w:pPr>
      <w:r w:rsidRPr="00875D05">
        <w:rPr>
          <w:b/>
          <w:bCs/>
          <w:lang w:val="es-CO"/>
        </w:rPr>
        <w:t>Estructuración</w:t>
      </w:r>
    </w:p>
    <w:p w14:paraId="2C905C7C" w14:textId="77777777" w:rsidR="00875D05" w:rsidRPr="00875D05" w:rsidRDefault="00875D05" w:rsidP="00875D05">
      <w:pPr>
        <w:spacing w:after="100" w:line="269" w:lineRule="auto"/>
        <w:rPr>
          <w:lang w:val="es-CO"/>
        </w:rPr>
      </w:pPr>
      <w:r w:rsidRPr="00875D05">
        <w:rPr>
          <w:lang w:val="es-CO"/>
        </w:rPr>
        <w:t>Definimos la ruta más conveniente, priorizamos alternativas viables y ordenamos la base societaria, narrativa, financiera y documental.</w:t>
      </w:r>
    </w:p>
    <w:p w14:paraId="3938D68A" w14:textId="77777777" w:rsidR="00875D05" w:rsidRPr="00875D05" w:rsidRDefault="00875D05" w:rsidP="00875D05">
      <w:pPr>
        <w:spacing w:after="100" w:line="269" w:lineRule="auto"/>
        <w:rPr>
          <w:b/>
          <w:bCs/>
          <w:lang w:val="es-CO"/>
        </w:rPr>
      </w:pPr>
      <w:r w:rsidRPr="00875D05">
        <w:rPr>
          <w:b/>
          <w:bCs/>
          <w:lang w:val="es-CO"/>
        </w:rPr>
        <w:t>Ejecución</w:t>
      </w:r>
    </w:p>
    <w:p w14:paraId="548B4FA3" w14:textId="77777777" w:rsidR="00875D05" w:rsidRPr="00875D05" w:rsidRDefault="00875D05" w:rsidP="00875D05">
      <w:pPr>
        <w:spacing w:after="100" w:line="269" w:lineRule="auto"/>
        <w:rPr>
          <w:lang w:val="es-CO"/>
        </w:rPr>
      </w:pPr>
      <w:r w:rsidRPr="00875D05">
        <w:rPr>
          <w:lang w:val="es-CO"/>
        </w:rPr>
        <w:t>Activamos los frentes acordados: constitución o adquisición de vehículo, preparación de convocatorias, acercamiento a financiadores o fortalecimiento institucional.</w:t>
      </w:r>
    </w:p>
    <w:p w14:paraId="7F7B0271" w14:textId="77777777" w:rsidR="00875D05" w:rsidRPr="00875D05" w:rsidRDefault="00875D05" w:rsidP="00875D05">
      <w:pPr>
        <w:spacing w:after="100" w:line="269" w:lineRule="auto"/>
        <w:rPr>
          <w:b/>
          <w:bCs/>
          <w:lang w:val="es-CO"/>
        </w:rPr>
      </w:pPr>
      <w:r w:rsidRPr="00875D05">
        <w:rPr>
          <w:b/>
          <w:bCs/>
          <w:lang w:val="es-CO"/>
        </w:rPr>
        <w:t>Seguimiento</w:t>
      </w:r>
    </w:p>
    <w:p w14:paraId="2D19AE46" w14:textId="77777777" w:rsidR="00875D05" w:rsidRPr="00875D05" w:rsidRDefault="00875D05" w:rsidP="00875D05">
      <w:pPr>
        <w:spacing w:after="100" w:line="269" w:lineRule="auto"/>
        <w:rPr>
          <w:lang w:val="es-CO"/>
        </w:rPr>
      </w:pPr>
      <w:r w:rsidRPr="00875D05">
        <w:rPr>
          <w:lang w:val="es-CO"/>
        </w:rPr>
        <w:t>Acompañamos reuniones, ajustes, respuestas a requerimientos y decisiones de cierre dentro del alcance convenido.</w:t>
      </w:r>
    </w:p>
    <w:p w14:paraId="07D75970" w14:textId="77777777" w:rsidR="00044E1F" w:rsidRPr="00ED5B35" w:rsidRDefault="00CB4C6D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t>Estructura económica</w:t>
      </w:r>
    </w:p>
    <w:p w14:paraId="05D438B1" w14:textId="77777777" w:rsidR="00B72B98" w:rsidRPr="00B72B98" w:rsidRDefault="00B72B98" w:rsidP="00B72B98">
      <w:pPr>
        <w:spacing w:after="100" w:line="269" w:lineRule="auto"/>
        <w:rPr>
          <w:lang w:val="es-CO"/>
        </w:rPr>
      </w:pPr>
      <w:r w:rsidRPr="00B72B98">
        <w:rPr>
          <w:lang w:val="es-CO"/>
        </w:rPr>
        <w:t>La estructura económica se adapta a cada cliente y al alcance específico del mandato. En términos generales, trabajamos con una combinación de:</w:t>
      </w:r>
    </w:p>
    <w:p w14:paraId="398F8C88" w14:textId="77777777" w:rsidR="00B72B98" w:rsidRPr="00B72B98" w:rsidRDefault="00B72B98" w:rsidP="00B72B98">
      <w:pPr>
        <w:numPr>
          <w:ilvl w:val="0"/>
          <w:numId w:val="14"/>
        </w:numPr>
        <w:spacing w:after="100" w:line="269" w:lineRule="auto"/>
        <w:rPr>
          <w:lang w:val="es-CO"/>
        </w:rPr>
      </w:pPr>
      <w:r w:rsidRPr="00B72B98">
        <w:rPr>
          <w:b/>
          <w:bCs/>
          <w:lang w:val="es-CO"/>
        </w:rPr>
        <w:t>honorario fijo inicial</w:t>
      </w:r>
      <w:r w:rsidRPr="00B72B98">
        <w:rPr>
          <w:lang w:val="es-CO"/>
        </w:rPr>
        <w:t>, asociado al diagnóstico y estructuración;</w:t>
      </w:r>
    </w:p>
    <w:p w14:paraId="530F1A04" w14:textId="77777777" w:rsidR="00B72B98" w:rsidRPr="00B72B98" w:rsidRDefault="00B72B98" w:rsidP="00B72B98">
      <w:pPr>
        <w:numPr>
          <w:ilvl w:val="0"/>
          <w:numId w:val="14"/>
        </w:numPr>
        <w:spacing w:after="100" w:line="269" w:lineRule="auto"/>
        <w:rPr>
          <w:lang w:val="es-CO"/>
        </w:rPr>
      </w:pPr>
      <w:r w:rsidRPr="00B72B98">
        <w:rPr>
          <w:b/>
          <w:bCs/>
          <w:lang w:val="es-CO"/>
        </w:rPr>
        <w:t>fee por fase o entregable</w:t>
      </w:r>
      <w:r w:rsidRPr="00B72B98">
        <w:rPr>
          <w:lang w:val="es-CO"/>
        </w:rPr>
        <w:t>, cuando el proceso se organiza por hitos definidos;</w:t>
      </w:r>
    </w:p>
    <w:p w14:paraId="0565F8C7" w14:textId="77777777" w:rsidR="00B72B98" w:rsidRPr="00B72B98" w:rsidRDefault="00B72B98" w:rsidP="00B72B98">
      <w:pPr>
        <w:numPr>
          <w:ilvl w:val="0"/>
          <w:numId w:val="14"/>
        </w:numPr>
        <w:spacing w:after="100" w:line="269" w:lineRule="auto"/>
        <w:rPr>
          <w:lang w:val="es-CO"/>
        </w:rPr>
      </w:pPr>
      <w:r w:rsidRPr="00B72B98">
        <w:rPr>
          <w:b/>
          <w:bCs/>
          <w:lang w:val="es-CO"/>
        </w:rPr>
        <w:t>success fee</w:t>
      </w:r>
      <w:r w:rsidRPr="00B72B98">
        <w:rPr>
          <w:lang w:val="es-CO"/>
        </w:rPr>
        <w:t>, cuando se materializa un resultado económico verificable;</w:t>
      </w:r>
    </w:p>
    <w:p w14:paraId="34059E4B" w14:textId="77777777" w:rsidR="00B72B98" w:rsidRPr="00B72B98" w:rsidRDefault="00B72B98" w:rsidP="00B72B98">
      <w:pPr>
        <w:numPr>
          <w:ilvl w:val="0"/>
          <w:numId w:val="14"/>
        </w:numPr>
        <w:spacing w:after="100" w:line="269" w:lineRule="auto"/>
        <w:rPr>
          <w:lang w:val="es-CO"/>
        </w:rPr>
      </w:pPr>
      <w:r w:rsidRPr="00B72B98">
        <w:rPr>
          <w:b/>
          <w:bCs/>
          <w:lang w:val="es-CO"/>
        </w:rPr>
        <w:t>retainer mensual</w:t>
      </w:r>
      <w:r w:rsidRPr="00B72B98">
        <w:rPr>
          <w:lang w:val="es-CO"/>
        </w:rPr>
        <w:t>, cuando el cliente requiere acompañamiento continuo.</w:t>
      </w:r>
    </w:p>
    <w:p w14:paraId="0CCB3B2A" w14:textId="77777777" w:rsidR="00D861AA" w:rsidRPr="00677E4B" w:rsidRDefault="00D861AA" w:rsidP="00677E4B">
      <w:pPr>
        <w:spacing w:after="100" w:line="269" w:lineRule="auto"/>
        <w:ind w:left="360"/>
        <w:rPr>
          <w:lang w:val="es-CO"/>
        </w:rPr>
      </w:pPr>
      <w:r w:rsidRPr="00677E4B">
        <w:rPr>
          <w:lang w:val="es-CO"/>
        </w:rPr>
        <w:t>En todos los casos, la propuesta particular define el evento que activa cada cobro, la base de cálculo, el momento de causación, la moneda de pago y el tratamiento de gastos de terceros.</w:t>
      </w:r>
    </w:p>
    <w:p w14:paraId="22D3A20E" w14:textId="77777777" w:rsidR="00B72B98" w:rsidRDefault="00B72B98">
      <w:pPr>
        <w:spacing w:after="100" w:line="269" w:lineRule="auto"/>
        <w:rPr>
          <w:lang w:val="es-CO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72"/>
      </w:tblGrid>
      <w:tr w:rsidR="00044E1F" w14:paraId="3417EE24" w14:textId="77777777">
        <w:trPr>
          <w:jc w:val="center"/>
        </w:trPr>
        <w:tc>
          <w:tcPr>
            <w:tcW w:w="3402" w:type="dxa"/>
            <w:shd w:val="clear" w:color="auto" w:fill="E9EEF5"/>
            <w:vAlign w:val="center"/>
          </w:tcPr>
          <w:p w14:paraId="61B301A7" w14:textId="77777777" w:rsidR="00044E1F" w:rsidRDefault="00CB4C6D">
            <w:r>
              <w:rPr>
                <w:b/>
                <w:color w:val="222D42"/>
                <w:sz w:val="20"/>
              </w:rPr>
              <w:t>Componente</w:t>
            </w:r>
          </w:p>
        </w:tc>
        <w:tc>
          <w:tcPr>
            <w:tcW w:w="5272" w:type="dxa"/>
            <w:shd w:val="clear" w:color="auto" w:fill="E9EEF5"/>
            <w:vAlign w:val="center"/>
          </w:tcPr>
          <w:p w14:paraId="2B534201" w14:textId="77777777" w:rsidR="00044E1F" w:rsidRDefault="00CB4C6D">
            <w:r>
              <w:rPr>
                <w:b/>
                <w:color w:val="222D42"/>
                <w:sz w:val="20"/>
              </w:rPr>
              <w:t>Contenido</w:t>
            </w:r>
          </w:p>
        </w:tc>
      </w:tr>
      <w:tr w:rsidR="00044E1F" w:rsidRPr="00ED5B35" w14:paraId="2BFB4DF9" w14:textId="77777777">
        <w:trPr>
          <w:jc w:val="center"/>
        </w:trPr>
        <w:tc>
          <w:tcPr>
            <w:tcW w:w="3402" w:type="dxa"/>
            <w:vAlign w:val="center"/>
          </w:tcPr>
          <w:p w14:paraId="1517A363" w14:textId="77777777" w:rsidR="00044E1F" w:rsidRDefault="00CB4C6D">
            <w:pPr>
              <w:spacing w:after="40" w:line="259" w:lineRule="auto"/>
            </w:pPr>
            <w:r>
              <w:rPr>
                <w:sz w:val="19"/>
              </w:rPr>
              <w:t>Honorario fijo inicial</w:t>
            </w:r>
          </w:p>
        </w:tc>
        <w:tc>
          <w:tcPr>
            <w:tcW w:w="5272" w:type="dxa"/>
            <w:vAlign w:val="center"/>
          </w:tcPr>
          <w:p w14:paraId="46E3CB4E" w14:textId="77777777" w:rsidR="00044E1F" w:rsidRPr="00ED5B35" w:rsidRDefault="00CB4C6D">
            <w:pPr>
              <w:spacing w:after="40" w:line="259" w:lineRule="auto"/>
              <w:rPr>
                <w:lang w:val="es-CO"/>
              </w:rPr>
            </w:pPr>
            <w:r w:rsidRPr="00ED5B35">
              <w:rPr>
                <w:sz w:val="19"/>
                <w:lang w:val="es-CO"/>
              </w:rPr>
              <w:t>Cubre diagnóstico, definición de ruta y estructuración preliminar del mandato.</w:t>
            </w:r>
          </w:p>
        </w:tc>
      </w:tr>
      <w:tr w:rsidR="00044E1F" w:rsidRPr="00ED5B35" w14:paraId="426BDE75" w14:textId="77777777">
        <w:trPr>
          <w:jc w:val="center"/>
        </w:trPr>
        <w:tc>
          <w:tcPr>
            <w:tcW w:w="3402" w:type="dxa"/>
            <w:vAlign w:val="center"/>
          </w:tcPr>
          <w:p w14:paraId="62EB0CBE" w14:textId="77777777" w:rsidR="00044E1F" w:rsidRPr="00ED5B35" w:rsidRDefault="00CB4C6D">
            <w:pPr>
              <w:spacing w:after="40" w:line="259" w:lineRule="auto"/>
              <w:rPr>
                <w:lang w:val="es-CO"/>
              </w:rPr>
            </w:pPr>
            <w:r w:rsidRPr="00ED5B35">
              <w:rPr>
                <w:sz w:val="19"/>
                <w:lang w:val="es-CO"/>
              </w:rPr>
              <w:t>Fee por fase o entregable</w:t>
            </w:r>
          </w:p>
        </w:tc>
        <w:tc>
          <w:tcPr>
            <w:tcW w:w="5272" w:type="dxa"/>
            <w:vAlign w:val="center"/>
          </w:tcPr>
          <w:p w14:paraId="6E54B335" w14:textId="77777777" w:rsidR="00044E1F" w:rsidRPr="00ED5B35" w:rsidRDefault="00CB4C6D">
            <w:pPr>
              <w:spacing w:after="40" w:line="259" w:lineRule="auto"/>
              <w:rPr>
                <w:lang w:val="es-CO"/>
              </w:rPr>
            </w:pPr>
            <w:r w:rsidRPr="00ED5B35">
              <w:rPr>
                <w:sz w:val="19"/>
                <w:lang w:val="es-CO"/>
              </w:rPr>
              <w:t>Aplica cuando el proceso se organiza por hitos definidos, entregables independientes o paquetes documentales específicos.</w:t>
            </w:r>
          </w:p>
        </w:tc>
      </w:tr>
      <w:tr w:rsidR="00044E1F" w:rsidRPr="00ED5B35" w14:paraId="4862C786" w14:textId="77777777">
        <w:trPr>
          <w:jc w:val="center"/>
        </w:trPr>
        <w:tc>
          <w:tcPr>
            <w:tcW w:w="3402" w:type="dxa"/>
            <w:vAlign w:val="center"/>
          </w:tcPr>
          <w:p w14:paraId="3F41FF0D" w14:textId="77777777" w:rsidR="00044E1F" w:rsidRDefault="00CB4C6D">
            <w:pPr>
              <w:spacing w:after="40" w:line="259" w:lineRule="auto"/>
            </w:pPr>
            <w:r>
              <w:rPr>
                <w:sz w:val="19"/>
              </w:rPr>
              <w:t>Success fee</w:t>
            </w:r>
          </w:p>
        </w:tc>
        <w:tc>
          <w:tcPr>
            <w:tcW w:w="5272" w:type="dxa"/>
            <w:vAlign w:val="center"/>
          </w:tcPr>
          <w:p w14:paraId="61E279AD" w14:textId="77777777" w:rsidR="00044E1F" w:rsidRPr="00ED5B35" w:rsidRDefault="00CB4C6D">
            <w:pPr>
              <w:spacing w:after="40" w:line="259" w:lineRule="auto"/>
              <w:rPr>
                <w:lang w:val="es-CO"/>
              </w:rPr>
            </w:pPr>
            <w:r w:rsidRPr="00ED5B35">
              <w:rPr>
                <w:sz w:val="19"/>
                <w:lang w:val="es-CO"/>
              </w:rPr>
              <w:t>Se causa únicamente cuando se materializa un resultado económico verificable, como adjudicación de fondos, cierre de financiación o adquisición de vehículo.</w:t>
            </w:r>
          </w:p>
        </w:tc>
      </w:tr>
      <w:tr w:rsidR="00044E1F" w:rsidRPr="00ED5B35" w14:paraId="5DE5E613" w14:textId="77777777">
        <w:trPr>
          <w:jc w:val="center"/>
        </w:trPr>
        <w:tc>
          <w:tcPr>
            <w:tcW w:w="3402" w:type="dxa"/>
            <w:vAlign w:val="center"/>
          </w:tcPr>
          <w:p w14:paraId="108D4C2E" w14:textId="77777777" w:rsidR="00044E1F" w:rsidRDefault="00CB4C6D">
            <w:pPr>
              <w:spacing w:after="40" w:line="259" w:lineRule="auto"/>
            </w:pPr>
            <w:r>
              <w:rPr>
                <w:sz w:val="19"/>
              </w:rPr>
              <w:t>Gastos de terceros</w:t>
            </w:r>
          </w:p>
        </w:tc>
        <w:tc>
          <w:tcPr>
            <w:tcW w:w="5272" w:type="dxa"/>
            <w:vAlign w:val="center"/>
          </w:tcPr>
          <w:p w14:paraId="17B034CA" w14:textId="77777777" w:rsidR="00044E1F" w:rsidRPr="00ED5B35" w:rsidRDefault="00CB4C6D">
            <w:pPr>
              <w:spacing w:after="40" w:line="259" w:lineRule="auto"/>
              <w:rPr>
                <w:lang w:val="es-CO"/>
              </w:rPr>
            </w:pPr>
            <w:r w:rsidRPr="00ED5B35">
              <w:rPr>
                <w:sz w:val="19"/>
                <w:lang w:val="es-CO"/>
              </w:rPr>
              <w:t>Se cotizan y asumen separadamente, salvo pacto expreso en contrario.</w:t>
            </w:r>
          </w:p>
        </w:tc>
      </w:tr>
    </w:tbl>
    <w:p w14:paraId="57B845AF" w14:textId="77777777" w:rsidR="00044E1F" w:rsidRPr="00ED5B35" w:rsidRDefault="00044E1F">
      <w:pPr>
        <w:rPr>
          <w:lang w:val="es-CO"/>
        </w:rPr>
      </w:pPr>
    </w:p>
    <w:p w14:paraId="53564229" w14:textId="77777777" w:rsidR="00044E1F" w:rsidRPr="00ED5B35" w:rsidRDefault="00CB4C6D">
      <w:pPr>
        <w:spacing w:before="40" w:after="120"/>
        <w:rPr>
          <w:lang w:val="es-CO"/>
        </w:rPr>
      </w:pPr>
      <w:r w:rsidRPr="00ED5B35">
        <w:rPr>
          <w:i/>
          <w:color w:val="5F5F5F"/>
          <w:sz w:val="18"/>
          <w:lang w:val="es-CO"/>
        </w:rPr>
        <w:t>La estructura definitiva se determina en cada propuesta particular, según alcance, complejidad, cronograma y tipo de contraparte.</w:t>
      </w:r>
    </w:p>
    <w:p w14:paraId="2F34F4D7" w14:textId="77777777" w:rsidR="00044E1F" w:rsidRPr="00ED5B35" w:rsidRDefault="00CB4C6D">
      <w:pPr>
        <w:pStyle w:val="Ttulo1"/>
        <w:spacing w:before="160" w:after="80" w:line="264" w:lineRule="auto"/>
        <w:rPr>
          <w:lang w:val="es-CO"/>
        </w:rPr>
      </w:pPr>
      <w:r w:rsidRPr="00ED5B35">
        <w:rPr>
          <w:lang w:val="es-CO"/>
        </w:rPr>
        <w:t>Alcance y límites del servicio</w:t>
      </w:r>
    </w:p>
    <w:p w14:paraId="1DA19CB2" w14:textId="77777777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>Los servicios de XCALE | MIDAS Capital comprenden estructuración, acompañamiento estratégico, preparación de materiales, identificación de oportunidades y apoyo en ejecución. No sustituyen asesoría jurídica formal, asesoría tributaria especializada, auditorías ni certificaciones técnicas de terceros. La aprobación de subvenciones, la concesión de financiación o el cierre de operaciones dependen de decisiones de terceros y de la calidad final de la información suministrada por el cliente. Por ello, la obliga</w:t>
      </w:r>
      <w:r w:rsidRPr="00ED5B35">
        <w:rPr>
          <w:lang w:val="es-CO"/>
        </w:rPr>
        <w:t>ción asumida es de medio calificado y ejecución rigurosa, no de resultado garantizado.</w:t>
      </w:r>
    </w:p>
    <w:p w14:paraId="0BB82E90" w14:textId="77777777" w:rsidR="004040B8" w:rsidRDefault="004040B8">
      <w:pPr>
        <w:spacing w:after="100" w:line="269" w:lineRule="auto"/>
        <w:rPr>
          <w:lang w:val="es-CO"/>
        </w:rPr>
      </w:pPr>
    </w:p>
    <w:p w14:paraId="4BFCACBA" w14:textId="66349EAD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 xml:space="preserve">Expandirse en Europa exige más que ambición. Exige estructura, credibilidad, acceso inteligente a capital y capacidad de ejecución. XCALE | MIDAS Capital acompaña a compañías latinoamericanas que entienden que crecer fuera de su mercado natural requiere orden, criterio y velocidad. Su rol consiste en ayudar a convertir ese objetivo en una ruta concreta, financiable y bien presentada frente a terceros. Para casos específicos, la firma prepara propuestas de trabajo a medida, definidas por alcance, cronograma </w:t>
      </w:r>
      <w:r w:rsidRPr="00ED5B35">
        <w:rPr>
          <w:lang w:val="es-CO"/>
        </w:rPr>
        <w:t>y estructura económica.</w:t>
      </w:r>
    </w:p>
    <w:p w14:paraId="5F60A29C" w14:textId="77777777" w:rsidR="004040B8" w:rsidRDefault="004040B8">
      <w:pPr>
        <w:spacing w:after="100" w:line="269" w:lineRule="auto"/>
        <w:rPr>
          <w:lang w:val="es-CO"/>
        </w:rPr>
      </w:pPr>
    </w:p>
    <w:p w14:paraId="0F12B3EB" w14:textId="5B33701B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>XCALE | MIDAS Capital presta sus servicios mediante mandatos específicos que definen alcance, honorarios, supuestos, responsabilidades y condiciones de pago. La información técnica, financiera o comercial suministrada por el cliente se trata bajo criterios de confidencialidad y uso restringido para la estructuración del proceso correspondiente.</w:t>
      </w:r>
    </w:p>
    <w:p w14:paraId="5B8D0A92" w14:textId="77777777" w:rsidR="00044E1F" w:rsidRPr="00ED5B35" w:rsidRDefault="00CB4C6D">
      <w:pPr>
        <w:spacing w:after="100" w:line="269" w:lineRule="auto"/>
        <w:rPr>
          <w:lang w:val="es-CO"/>
        </w:rPr>
      </w:pPr>
      <w:r w:rsidRPr="00ED5B35">
        <w:rPr>
          <w:lang w:val="es-CO"/>
        </w:rPr>
        <w:t>Esta oferta tiene carácter comercial e institucional y sirve como documento marco para conversaciones preliminares, definición de alcance y emisión de propuestas particulares de trabajo.</w:t>
      </w:r>
    </w:p>
    <w:sectPr w:rsidR="00044E1F" w:rsidRPr="00ED5B35" w:rsidSect="00034616">
      <w:footerReference w:type="default" r:id="rId8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1DE65" w14:textId="77777777" w:rsidR="00CB4C6D" w:rsidRDefault="00CB4C6D">
      <w:pPr>
        <w:spacing w:after="0" w:line="240" w:lineRule="auto"/>
      </w:pPr>
      <w:r>
        <w:separator/>
      </w:r>
    </w:p>
  </w:endnote>
  <w:endnote w:type="continuationSeparator" w:id="0">
    <w:p w14:paraId="494C6734" w14:textId="77777777" w:rsidR="00CB4C6D" w:rsidRDefault="00CB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54CBF" w14:textId="59CDD6E0" w:rsidR="00044E1F" w:rsidRDefault="00CB4C6D">
    <w:pPr>
      <w:pStyle w:val="Piedepgina"/>
      <w:jc w:val="right"/>
    </w:pPr>
    <w:r>
      <w:t xml:space="preserve">Página </w:t>
    </w:r>
    <w:r>
      <w:fldChar w:fldCharType="begin"/>
    </w:r>
    <w:r>
      <w:instrText>PAGE</w:instrText>
    </w:r>
    <w:r w:rsidR="00ED5B35">
      <w:fldChar w:fldCharType="separate"/>
    </w:r>
    <w:r w:rsidR="00ED5B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A969" w14:textId="77777777" w:rsidR="00CB4C6D" w:rsidRDefault="00CB4C6D">
      <w:pPr>
        <w:spacing w:after="0" w:line="240" w:lineRule="auto"/>
      </w:pPr>
      <w:r>
        <w:separator/>
      </w:r>
    </w:p>
  </w:footnote>
  <w:footnote w:type="continuationSeparator" w:id="0">
    <w:p w14:paraId="3A4D2B28" w14:textId="77777777" w:rsidR="00CB4C6D" w:rsidRDefault="00CB4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232C9C"/>
    <w:multiLevelType w:val="hybridMultilevel"/>
    <w:tmpl w:val="12F4993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A5513"/>
    <w:multiLevelType w:val="hybridMultilevel"/>
    <w:tmpl w:val="EBE430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CB6FAB"/>
    <w:multiLevelType w:val="hybridMultilevel"/>
    <w:tmpl w:val="76065DC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730CB8"/>
    <w:multiLevelType w:val="hybridMultilevel"/>
    <w:tmpl w:val="49687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813AAE"/>
    <w:multiLevelType w:val="multilevel"/>
    <w:tmpl w:val="C19E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12621">
    <w:abstractNumId w:val="8"/>
  </w:num>
  <w:num w:numId="2" w16cid:durableId="668143035">
    <w:abstractNumId w:val="6"/>
  </w:num>
  <w:num w:numId="3" w16cid:durableId="1750735233">
    <w:abstractNumId w:val="5"/>
  </w:num>
  <w:num w:numId="4" w16cid:durableId="154685118">
    <w:abstractNumId w:val="4"/>
  </w:num>
  <w:num w:numId="5" w16cid:durableId="889809716">
    <w:abstractNumId w:val="7"/>
  </w:num>
  <w:num w:numId="6" w16cid:durableId="1653944930">
    <w:abstractNumId w:val="3"/>
  </w:num>
  <w:num w:numId="7" w16cid:durableId="862792113">
    <w:abstractNumId w:val="2"/>
  </w:num>
  <w:num w:numId="8" w16cid:durableId="1006634276">
    <w:abstractNumId w:val="1"/>
  </w:num>
  <w:num w:numId="9" w16cid:durableId="308440163">
    <w:abstractNumId w:val="0"/>
  </w:num>
  <w:num w:numId="10" w16cid:durableId="1643390059">
    <w:abstractNumId w:val="10"/>
  </w:num>
  <w:num w:numId="11" w16cid:durableId="985743842">
    <w:abstractNumId w:val="9"/>
  </w:num>
  <w:num w:numId="12" w16cid:durableId="543102375">
    <w:abstractNumId w:val="11"/>
  </w:num>
  <w:num w:numId="13" w16cid:durableId="603264163">
    <w:abstractNumId w:val="12"/>
  </w:num>
  <w:num w:numId="14" w16cid:durableId="2498921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1F"/>
    <w:rsid w:val="0006063C"/>
    <w:rsid w:val="0015074B"/>
    <w:rsid w:val="002135E9"/>
    <w:rsid w:val="0029639D"/>
    <w:rsid w:val="002C544C"/>
    <w:rsid w:val="00326F90"/>
    <w:rsid w:val="004040B8"/>
    <w:rsid w:val="00583F89"/>
    <w:rsid w:val="00677E4B"/>
    <w:rsid w:val="00740327"/>
    <w:rsid w:val="00875D05"/>
    <w:rsid w:val="00AA1D8D"/>
    <w:rsid w:val="00B47730"/>
    <w:rsid w:val="00B72B98"/>
    <w:rsid w:val="00CB0664"/>
    <w:rsid w:val="00CB4C6D"/>
    <w:rsid w:val="00D861AA"/>
    <w:rsid w:val="00DC267A"/>
    <w:rsid w:val="00ED5B35"/>
    <w:rsid w:val="00F813E2"/>
    <w:rsid w:val="00FC693F"/>
    <w:rsid w:val="00FE35A5"/>
    <w:rsid w:val="00F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1256784-31BE-4DFE-9CB9-B377BCB0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D42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D42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2D42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1386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Armando Hortua</cp:lastModifiedBy>
  <cp:revision>14</cp:revision>
  <dcterms:created xsi:type="dcterms:W3CDTF">2013-12-23T23:15:00Z</dcterms:created>
  <dcterms:modified xsi:type="dcterms:W3CDTF">2026-04-11T14:38:00Z</dcterms:modified>
  <cp:category/>
</cp:coreProperties>
</file>