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left"/>
      </w:pPr>
      <w:r>
        <w:rPr>
          <w:b/>
          <w:bCs/>
        </w:rPr>
        <w:t xml:space="preserve">Reglamento General de Trámites Académicos</w:t>
      </w:r>
    </w:p>
    <w:p>
      <w:pPr>
        <w:spacing w:after="100"/>
        <w:jc w:val="left"/>
      </w:pPr>
      <w:r>
        <w:rPr>
          <w:i/>
          <w:iCs/>
        </w:rPr>
        <w:t xml:space="preserve">Institución Universitaria Ficticia</w:t>
      </w:r>
    </w:p>
    <w:p>
      <w:pPr>
        <w:spacing w:after="400"/>
        <w:jc w:val="left"/>
      </w:pPr>
      <w:r>
        <w:t xml:space="preserve">Documento de carácter ficticio, elaborado con fines exclusivamente académicos y demostrativos, para su uso como corpus documental en ejercicios de recuperación de información y ajuste de modelos de lenguaje.</w:t>
      </w:r>
    </w:p>
    <w:p>
      <w:pPr>
        <w:pStyle w:val="Heading1"/>
        <w:spacing w:after="150" w:before="300"/>
      </w:pPr>
      <w:r>
        <w:rPr>
          <w:b/>
          <w:bCs/>
        </w:rPr>
        <w:t xml:space="preserve">Título I. Cancelación de Asignaturas</w:t>
      </w:r>
    </w:p>
    <w:p>
      <w:pPr>
        <w:spacing w:after="60" w:before="150"/>
      </w:pPr>
      <w:r>
        <w:rPr>
          <w:b/>
          <w:bCs/>
        </w:rPr>
        <w:t xml:space="preserve">Artículo 1. Plazo ordinario de cancelación.</w:t>
      </w:r>
    </w:p>
    <w:p>
      <w:pPr>
        <w:spacing w:after="150"/>
        <w:jc w:val="both"/>
      </w:pPr>
      <w:r>
        <w:t xml:space="preserve">El estudiante podrá cancelar una asignatura sin que dicha cancelación quede registrada en el certificado de calificaciones hasta el día en que se cumpla el cuarenta por ciento (40%) del calendario académico del periodo. Superado este plazo, la cancelación solo podrá registrarse hasta el setenta por ciento (70%) del calendario académico, y en tal caso la asignatura quedará registrada con la anotación "Cancelada" en el certificado de calificaciones.</w:t>
      </w:r>
    </w:p>
    <w:p>
      <w:pPr>
        <w:spacing w:after="60" w:before="150"/>
      </w:pPr>
      <w:r>
        <w:rPr>
          <w:b/>
          <w:bCs/>
        </w:rPr>
        <w:t xml:space="preserve">Artículo 2. Cancelación extraordinaria por fuerza mayor.</w:t>
      </w:r>
    </w:p>
    <w:p>
      <w:pPr>
        <w:spacing w:after="150"/>
        <w:jc w:val="both"/>
      </w:pPr>
      <w:r>
        <w:t xml:space="preserve">Después del setenta por ciento (70%) del calendario académico, el estudiante únicamente podrá solicitar la cancelación de una asignatura por motivos de fuerza mayor debidamente acreditados ante la Secretaría Académica, mediante solicitud escrita y soporte documental, dentro de los cinco (5) días hábiles siguientes a la ocurrencia del hecho.</w:t>
      </w:r>
    </w:p>
    <w:p>
      <w:pPr>
        <w:pStyle w:val="Heading1"/>
        <w:spacing w:after="150" w:before="300"/>
      </w:pPr>
      <w:r>
        <w:rPr>
          <w:b/>
          <w:bCs/>
        </w:rPr>
        <w:t xml:space="preserve">Título II. Homologación de Asignaturas</w:t>
      </w:r>
    </w:p>
    <w:p>
      <w:pPr>
        <w:spacing w:after="60" w:before="150"/>
      </w:pPr>
      <w:r>
        <w:rPr>
          <w:b/>
          <w:bCs/>
        </w:rPr>
        <w:t xml:space="preserve">Artículo 3. Créditos mínimos para homologación.</w:t>
      </w:r>
    </w:p>
    <w:p>
      <w:pPr>
        <w:spacing w:after="150"/>
        <w:jc w:val="both"/>
      </w:pPr>
      <w:r>
        <w:t xml:space="preserve">Solo podrán homologarse asignaturas cursadas y aprobadas en otra institución de educación superior cuando el número de créditos académicos de la asignatura de origen sea igual o superior al ochenta por ciento (80%) de los créditos de la asignatura equivalente en el plan de estudios vigente.</w:t>
      </w:r>
    </w:p>
    <w:p>
      <w:pPr>
        <w:spacing w:after="60" w:before="150"/>
      </w:pPr>
      <w:r>
        <w:rPr>
          <w:b/>
          <w:bCs/>
        </w:rPr>
        <w:t xml:space="preserve">Artículo 4. Equivalencia de contenidos.</w:t>
      </w:r>
    </w:p>
    <w:p>
      <w:pPr>
        <w:spacing w:after="150"/>
        <w:jc w:val="both"/>
      </w:pPr>
      <w:r>
        <w:t xml:space="preserve">La homologación procederá cuando el Comité de Programa certifique una equivalencia de contenidos igual o superior al setenta y cinco por ciento (75%) entre los programas de las asignaturas comparadas. La calificación mínima aprobatoria de la asignatura de origen para efectos de homologación es de tres punto cinco (3.5) sobre cinco punto cero (5.0).</w:t>
      </w:r>
    </w:p>
    <w:p>
      <w:pPr>
        <w:pStyle w:val="Heading1"/>
        <w:spacing w:after="150" w:before="300"/>
      </w:pPr>
      <w:r>
        <w:rPr>
          <w:b/>
          <w:bCs/>
        </w:rPr>
        <w:t xml:space="preserve">Título III. Matrícula Académica</w:t>
      </w:r>
    </w:p>
    <w:p>
      <w:pPr>
        <w:spacing w:after="60" w:before="150"/>
      </w:pPr>
      <w:r>
        <w:rPr>
          <w:b/>
          <w:bCs/>
        </w:rPr>
        <w:t xml:space="preserve">Artículo 5. Periodo ordinario de matrícula.</w:t>
      </w:r>
    </w:p>
    <w:p>
      <w:pPr>
        <w:spacing w:after="150"/>
        <w:jc w:val="both"/>
      </w:pPr>
      <w:r>
        <w:t xml:space="preserve">La matrícula académica ordinaria se realizará dentro de las dos (2) semanas calendario previas al inicio de clases del respectivo periodo académico, de acuerdo con el calendario publicado por la Oficina de Admisiones y Registro.</w:t>
      </w:r>
    </w:p>
    <w:p>
      <w:pPr>
        <w:spacing w:after="60" w:before="150"/>
      </w:pPr>
      <w:r>
        <w:rPr>
          <w:b/>
          <w:bCs/>
        </w:rPr>
        <w:t xml:space="preserve">Artículo 6. Matrícula extemporánea.</w:t>
      </w:r>
    </w:p>
    <w:p>
      <w:pPr>
        <w:spacing w:after="150"/>
        <w:jc w:val="both"/>
      </w:pPr>
      <w:r>
        <w:t xml:space="preserve">Vencido el periodo ordinario, el estudiante podrá matricularse de manera extemporánea únicamente durante la primera semana de clases, previo pago de un recargo administrativo equivalente al diez por ciento (10%) del valor de la matrícula. Transcurrida dicha semana, no procederá matrícula alguna para el periodo en curso.</w:t>
      </w:r>
    </w:p>
    <w:p>
      <w:pPr>
        <w:pStyle w:val="Heading1"/>
        <w:spacing w:after="150" w:before="300"/>
      </w:pPr>
      <w:r>
        <w:rPr>
          <w:b/>
          <w:bCs/>
        </w:rPr>
        <w:t xml:space="preserve">Título IV. Requisitos de Grado</w:t>
      </w:r>
    </w:p>
    <w:p>
      <w:pPr>
        <w:spacing w:after="60" w:before="150"/>
      </w:pPr>
      <w:r>
        <w:rPr>
          <w:b/>
          <w:bCs/>
        </w:rPr>
        <w:t xml:space="preserve">Artículo 7. Créditos y promedio mínimo.</w:t>
      </w:r>
    </w:p>
    <w:p>
      <w:pPr>
        <w:spacing w:after="150"/>
        <w:jc w:val="both"/>
      </w:pPr>
      <w:r>
        <w:t xml:space="preserve">Para optar al título correspondiente, el estudiante deberá haber aprobado la totalidad de los créditos académicos establecidos en su plan de estudios y mantener un promedio académico acumulado igual o superior a tres punto cero (3.0) sobre cinco punto cero (5.0).</w:t>
      </w:r>
    </w:p>
    <w:p>
      <w:pPr>
        <w:spacing w:after="60" w:before="150"/>
      </w:pPr>
      <w:r>
        <w:rPr>
          <w:b/>
          <w:bCs/>
        </w:rPr>
        <w:t xml:space="preserve">Artículo 8. Práctica profesional y trabajo de grado.</w:t>
      </w:r>
    </w:p>
    <w:p>
      <w:pPr>
        <w:spacing w:after="150"/>
        <w:jc w:val="both"/>
      </w:pPr>
      <w:r>
        <w:t xml:space="preserve">El estudiante deberá acreditar la aprobación de la práctica profesional y la sustentación satisfactoria del trabajo de grado ante un jurado designado por el Comité de Programa, como requisitos adicionales e independientes para la obtención del título.</w:t>
      </w:r>
    </w:p>
    <w:p>
      <w:pPr>
        <w:pStyle w:val="Heading1"/>
        <w:spacing w:after="150" w:before="300"/>
      </w:pPr>
      <w:r>
        <w:rPr>
          <w:b/>
          <w:bCs/>
        </w:rPr>
        <w:t xml:space="preserve">Título V. Disposiciones Generales</w:t>
      </w:r>
    </w:p>
    <w:p>
      <w:pPr>
        <w:spacing w:after="60" w:before="150"/>
      </w:pPr>
      <w:r>
        <w:rPr>
          <w:b/>
          <w:bCs/>
        </w:rPr>
        <w:t xml:space="preserve">Artículo 9. Vigencia.</w:t>
      </w:r>
    </w:p>
    <w:p>
      <w:pPr>
        <w:spacing w:after="150"/>
        <w:jc w:val="both"/>
      </w:pPr>
      <w:r>
        <w:t xml:space="preserve">El presente reglamento rige a partir de su publicación y deroga las disposiciones que le sean contrarias.</w:t>
      </w:r>
    </w:p>
    <w:p>
      <w:pPr>
        <w:spacing w:after="60" w:before="150"/>
      </w:pPr>
      <w:r>
        <w:rPr>
          <w:b/>
          <w:bCs/>
        </w:rPr>
        <w:t xml:space="preserve">Artículo 10. Canal oficial de atención.</w:t>
      </w:r>
    </w:p>
    <w:p>
      <w:pPr>
        <w:spacing w:after="150"/>
        <w:jc w:val="both"/>
      </w:pPr>
      <w:r>
        <w:t xml:space="preserve">Toda solicitud relacionada con los trámites descritos en este reglamento deberá presentarse a través de la Oficina de Admisiones y Registro o del canal digital institucional dispuesto para tal efecto. Este reglamento no regula asuntos ajenos a los trámites académicos aquí descritos.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2026-09-14T18:48:24.457Z</dcterms:created>
  <dcterms:modified xsi:type="dcterms:W3CDTF">2026-09-14T18:48:24.467Z</dcterms:modified>
</cp:coreProperties>
</file>

<file path=docProps/custom.xml><?xml version="1.0" encoding="utf-8"?>
<Properties xmlns="http://schemas.openxmlformats.org/officeDocument/2006/custom-properties" xmlns:vt="http://schemas.openxmlformats.org/officeDocument/2006/docPropsVTypes"/>
</file>