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projeto Smart Electric Kart</w:t>
      </w:r>
    </w:p>
    <w:p>
      <w:pPr>
        <w:pStyle w:val="Subtitle"/>
      </w:pPr>
      <w:r>
        <w:t>Aperfeiçoamento do diferencial eletrónico e estimação da autonomia real</w:t>
      </w:r>
    </w:p>
    <w:p>
      <w:r>
        <w:t>Projeto em Engenharia Eletrotécnica e de Computadores · Ano letivo 2026/27</w:t>
      </w:r>
    </w:p>
    <w:p>
      <w:r>
        <w:t>Alunos: Armando Aimacaña e Irvin Chasi</w:t>
        <w:br/>
        <w:t>Orientadores indicados: Luís Neves e Paulo Ventura</w:t>
        <w:br/>
        <w:t>Data: 30 de setembro de 2026 · Versão 2.0</w:t>
      </w:r>
    </w:p>
    <w:p>
      <w:r>
        <w:t>Propomos estudar a configuração recebida do kart, aperfeiçoar uma função do diferencial eletrónico e estimar a autonomia a partir de medições reproduzíveis. Até fevereiro de 2027, pretendemos apresentar uma implementação identificada, uma avaliação experimental inicial e uma estimativa de autonomia com condições e limitações explícitas. O âmbito e o calendário serão revistos com os orientadores.</w:t>
      </w:r>
    </w:p>
    <w:p>
      <w:pPr>
        <w:pStyle w:val="Heading1"/>
      </w:pPr>
      <w:r>
        <w:t>1 Enquadramento e problema</w:t>
      </w:r>
    </w:p>
    <w:p>
      <w:r>
        <w:t>O relatório de julho de 2026 descreve uma unidade frontal STM32, uma unidade traseira ESP32, comunicação CAN, BMS e dois motores BLDC traseiros com controladores independentes [1, p. PDF 5]. Esta arquitetura é a referência documental; a sua correspondência com o kart disponível ainda terá de ser verificada.</w:t>
      </w:r>
    </w:p>
    <w:p>
      <w:r>
        <w:t>O diferencial já possui modos DIF, BLQ e ESC. Os autores anteriores declaram ensaios de DIF e BLQ, mas não validaram experimentalmente ESC devido a uma falha na ligação GND do giroscópio GY-521 [1, p. PDF 97]. A contribuição proposta consiste em diagnosticar, aperfeiçoar e validar esta base. A função específica será selecionada após o diagnóstico, podendo incluir a validação e o aperfeiçoamento de ESC se os meios disponíveis o permitirem.</w:t>
      </w:r>
    </w:p>
    <w:p>
      <w:r>
        <w:t>O relatório também refere falhas do contactor, bloqueios do ESP32 e comportamento anómalo do SOC do BMS [1, pp. PDF 97–98]. A relação entre flutuações de alimentação e bloqueios é apresentada como hipótese. Estes problemas devem ser investigados antes de depender dos dados para avaliar o controlo ou a autonomia.</w:t>
      </w:r>
    </w:p>
    <w:p>
      <w:pPr>
        <w:pStyle w:val="Heading1"/>
      </w:pPr>
      <w:r>
        <w:t>2 Pergunta e objetivo geral</w:t>
      </w:r>
    </w:p>
    <w:p>
      <w:r>
        <w:t>Como aperfeiçoar e validar o diferencial eletrónico da configuração recebida e estimar a autonomia real do kart através de medições reproduzíveis?</w:t>
      </w:r>
    </w:p>
    <w:p>
      <w:r>
        <w:t>O objetivo geral é obter uma melhoria de controlo justificável por comparação experimental e uma estimativa de autonomia associada a um percurso e a condições de utilização definidos.</w:t>
      </w:r>
    </w:p>
    <w:p>
      <w:r>
        <w:br w:type="page"/>
      </w:r>
    </w:p>
    <w:p>
      <w:pPr>
        <w:pStyle w:val="Heading1"/>
      </w:pPr>
      <w:r>
        <w:t>3 Objetivos específicos e resultados esperados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402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6236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Resultado verificável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Identificar a configuração e os impedimentos iniciais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Inventário físico, versões de firmware, sinais disponíveis e registo de incidências.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Definir a melhoria do diferencial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Função selecionada, justificação, indicadores e protocolo revistos com os orientadores.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Garantir medições utilizáveis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Verificação do registo, calibrações e ensaio de referência com condições documentadas.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Implementar e avaliar a melhoria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Código versionado e comparação entre referência e versão modificada.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Estimar a autonomia até fevereiro de 2027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Dados de consumo e distância, método de cálculo e incerteza ou limitações identificadas.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Melhorar a interface e consolidar resultados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Informação de utilização pertinente e validação final no segundo semestre.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1"/>
      </w:pPr>
      <w:r>
        <w:t>4 Metodologia e critérios de avaliação</w:t>
      </w:r>
    </w:p>
    <w:p>
      <w:r>
        <w:t>Começaremos pela leitura dirigida da documentação e pela inspeção do kart. Registaremos componentes, ligações, firmware, sinais e anomalias observadas. As correções necessárias à realização dos ensaios terão prioridade sobre a inclusão de novas funcionalidades. Novos sensores só serão propostos quando houver uma necessidade de medição demonstrada.</w:t>
      </w:r>
    </w:p>
    <w:p>
      <w:r>
        <w:t>Para o diferencial, estabeleceremos uma referência inicial e compararemos a versão modificada em condições equivalentes de percurso, carga e condução. Selecionaremos indicadores adequados à função escolhida, como erro de seguimento da velocidade das rodas, resposta em curva e erro de guinada quando aplicável. Os limiares de aceitação serão definidos antes dos ensaios comparativos, com base nas medições iniciais e na revisão com os orientadores.</w:t>
      </w:r>
    </w:p>
    <w:p>
      <w:r>
        <w:t>Para a autonomia, registaremos tempo, distância, tensão e corrente da bateria, estado inicial de carga e condições do percurso. Verificaremos unidades, sincronização e qualidade dos dados. Quando as medições forem adequadas, calcularemos energia em Wh e consumo em Wh/km. A autonomia estimada em km será obtida pela relação entre energia utilizável medida em Wh e consumo em Wh/km, para as condições ensaiadas. Não assumiremos que o SOC indicado pelo BMS, isoladamente, determina a energia utilizável.</w:t>
      </w:r>
    </w:p>
    <w:p>
      <w:r>
        <w:t>Documentaremos a precisão conhecida dos instrumentos, a dispersão entre repetições e os dados em falta. Distinguiremos a autonomia estimada da autonomia validada num percurso. Se não for possível medir a energia utilizável até fevereiro, apresentaremos o consumo medido e uma estimativa condicionada, identificando a evidência ainda necessária.</w:t>
      </w:r>
    </w:p>
    <w:p>
      <w:pPr>
        <w:pStyle w:val="Heading1"/>
      </w:pPr>
      <w:r>
        <w:t>5 Âmbito e dependências</w:t>
      </w:r>
    </w:p>
    <w:p>
      <w:r>
        <w:t>O núcleo do trabalho inclui diagnóstico, qualidade de dados, melhoria selecionada do diferencial e avaliação de consumo e autonomia. A interface será aperfeiçoada em março e abril, de acordo com os resultados. Alterações extensas ao sistema de potência ou novas funções de controlo exigirão revisão do âmbito, dos recursos e do calendário.</w:t>
      </w:r>
    </w:p>
    <w:p>
      <w:r>
        <w:br w:type="page"/>
      </w:r>
    </w:p>
    <w:p>
      <w:pPr>
        <w:pStyle w:val="Heading1"/>
      </w:pPr>
      <w:r>
        <w:t>6 Calendarização proposta</w:t>
      </w:r>
    </w:p>
    <w:p>
      <w:r>
        <w:t>Planeamento de outubro de 2026 a junho de 2027. As datas de avaliação académica permanecem por confirmar. Os ensaios decorrem ao longo do desenvolvimento; a documentação acompanha todas as fases.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rPr>
          <w:tblHeader/>
          <w:cantSplit/>
        </w:trPr>
        <w:tc>
          <w:tcPr>
            <w:tcW w:type="dxa" w:w="3515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Atividade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Out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Nov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Dez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Jan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Fev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Mar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Abr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Mai</w:t>
            </w:r>
          </w:p>
        </w:tc>
        <w:tc>
          <w:tcPr>
            <w:tcW w:type="dxa" w:w="68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Jun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Diagnóstico e estudo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Âmbito e protocolo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Correções e calibração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Ensaios de referência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Melhoria do controlo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Consumo e autonomia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Interface de utilização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Validação final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Documentação contínua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</w:tr>
      <w:tr>
        <w:trPr>
          <w:cantSplit/>
        </w:trPr>
        <w:tc>
          <w:tcPr>
            <w:tcW w:type="dxa" w:w="3515"/>
          </w:tcPr>
          <w:p>
            <w:pPr>
              <w:spacing w:after="60" w:before="60"/>
            </w:pPr>
            <w:r>
              <w:rPr>
                <w:sz w:val="18"/>
              </w:rPr>
              <w:t>Revisão e correções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  <w:tc>
          <w:tcPr>
            <w:tcW w:type="dxa" w:w="680"/>
          </w:tcPr>
          <w:p>
            <w:pPr>
              <w:spacing w:after="60" w:before="60"/>
            </w:pPr>
            <w:r>
              <w:rPr>
                <w:sz w:val="18"/>
              </w:rPr>
              <w:t>X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1"/>
      </w:pPr>
      <w:r>
        <w:t>7 Marcos e entregáveis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928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Prazo proposto</w:t>
            </w:r>
          </w:p>
        </w:tc>
        <w:tc>
          <w:tcPr>
            <w:tcW w:type="dxa" w:w="7710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Entregável e condição de passagem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outubro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M1 — Configuração de partida documentada e diagnóstico dos impedimentos aos ensaios.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novembro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M2 — Função de controlo, indicadores, recursos e protocolo definidos; responsabilidades acordadas.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dezembro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M3 — Medições de referência utilizáveis e versão inicial da melhoria, se o diagnóstico o permitir.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fevereiro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M4 — Relatório intercalar: implementação, comparação inicial e estimativa de autonomia com condições, incerteza e limites.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abril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M5 — Interface aperfeiçoada e verificação das funções afetadas pelas alterações.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/>
            </w:pPr>
            <w:r>
              <w:rPr>
                <w:sz w:val="18"/>
              </w:rPr>
              <w:t>Fim de junho</w:t>
            </w:r>
          </w:p>
        </w:tc>
        <w:tc>
          <w:tcPr>
            <w:tcW w:type="dxa" w:w="7710"/>
          </w:tcPr>
          <w:p>
            <w:pPr>
              <w:spacing w:after="60" w:before="60"/>
            </w:pPr>
            <w:r>
              <w:rPr>
                <w:sz w:val="18"/>
              </w:rPr>
              <w:t>M6 — Validação final, relatório, código e dados organizados para entrega; ajustar à data oficial.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r>
        <w:t>O marco de fevereiro depende da disponibilidade do kart e da resolução dos impedimentos de funcionamento e medição. Se estes persistirem, o relatório intercalar deverá apresentar o diagnóstico sustentado, os resultados obtidos e o plano de conclusão revisto.</w:t>
      </w:r>
    </w:p>
    <w:p>
      <w:r>
        <w:br w:type="page"/>
      </w:r>
    </w:p>
    <w:p>
      <w:pPr>
        <w:pStyle w:val="Heading1"/>
      </w:pPr>
      <w:r>
        <w:t>8 Organização e recursos</w:t>
      </w:r>
    </w:p>
    <w:p>
      <w:r>
        <w:t>Armando Aimacaña e Irvin Chasi desenvolverão o trabalho com acompanhamento dos orientadores indicados. A distribuição individual das tarefas será acordada no início e registada no diário do projeto. Propomos uma revisão no encerramento de cada marco, a agendar com os orientadores.</w:t>
      </w:r>
    </w:p>
    <w:p>
      <w:r>
        <w:t>Recursos a confirmar: acesso ao kart e à configuração de programação correspondente, instrumentos de medição elétrica, aquisição ou registo sincronizado de dados e local autorizado para ensaios. A escolha de novos componentes dependerá do diagnóstico, da compatibilidade e dos recursos disponíveis.</w:t>
      </w:r>
    </w:p>
    <w:p>
      <w:pPr>
        <w:pStyle w:val="Heading1"/>
      </w:pPr>
      <w:r>
        <w:t>9 Riscos e resposta prevista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3402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Risco ou dependência</w:t>
            </w:r>
          </w:p>
        </w:tc>
        <w:tc>
          <w:tcPr>
            <w:tcW w:type="dxa" w:w="6236"/>
            <w:shd w:fill="E9EEF2"/>
          </w:tcPr>
          <w:p>
            <w:pPr>
              <w:spacing w:after="60" w:before="60"/>
            </w:pPr>
            <w:r>
              <w:rPr>
                <w:b/>
                <w:sz w:val="18"/>
              </w:rPr>
              <w:t>Resposta proposta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Falhas de alimentação ou controlo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Diagnosticar antes dos ensaios integrados e conservar evidência das correções.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Sensores ou registos inconsistentes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Verificar firmware, unidades, calibração e sincronização; repetir medições inválidas.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SOC ou energia utilizável sem validação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Não usar o SOC como única evidência; declarar limites da estimativa de autonomia.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Indisponibilidade do veículo ou atraso de componentes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Priorizar o núcleo do projeto e rever tarefas opcionais e marcos.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sz w:val="18"/>
              </w:rPr>
              <w:t>Melhoria sem benefício demonstrado</w:t>
            </w:r>
          </w:p>
        </w:tc>
        <w:tc>
          <w:tcPr>
            <w:tcW w:type="dxa" w:w="6236"/>
          </w:tcPr>
          <w:p>
            <w:pPr>
              <w:spacing w:after="60" w:before="60"/>
            </w:pPr>
            <w:r>
              <w:rPr>
                <w:sz w:val="18"/>
              </w:rPr>
              <w:t>Registar o resultado comparativo e rever a estratégia, sem declarar sucesso sem evidência.</w:t>
            </w:r>
          </w:p>
        </w:tc>
      </w:tr>
    </w:tbl>
    <w:p>
      <w:pPr>
        <w:spacing w:after="0" w:before="0" w:line="96" w:lineRule="auto"/>
      </w:pPr>
      <w:r>
        <w:rPr>
          <w:sz w:val="6"/>
        </w:rPr>
      </w:r>
    </w:p>
    <w:p>
      <w:pPr>
        <w:pStyle w:val="Heading1"/>
      </w:pPr>
      <w:r>
        <w:t>10 Documentação e entrega</w:t>
      </w:r>
    </w:p>
    <w:p>
      <w:r>
        <w:t>Manteremos um diário desde outubro, com decisões, configuração utilizada, versões de software, calibrações e condições de cada ensaio. Cada conjunto de dados será ligado ao firmware e ao protocolo que o produziu. Os resultados serão apresentados com unidades, condições e referências às fontes; os originais históricos serão preservados.</w:t>
      </w:r>
    </w:p>
    <w:p>
      <w:r>
        <w:t>A entrega deverá reunir relatório, configuração e código identificados, dados de referência e comparação, método de estimação de autonomia e lista de limitações ou trabalho futuro. A proposta será revista após o diagnóstico inicial para fixar a função do diferencial, os critérios quantitativos e a distribuição de responsabilidades.</w:t>
      </w:r>
    </w:p>
    <w:p>
      <w:pPr>
        <w:pStyle w:val="Heading1"/>
      </w:pPr>
      <w:r>
        <w:t>11 Referências e base documental</w:t>
      </w:r>
    </w:p>
    <w:p>
      <w:r>
        <w:t>[1] Relatório de projeto Kart Cross, Bernardo 2223403 e Ricardo 2223406, julho de 2026. Catálogo DOC-0042. Referências utilizadas: páginas PDF 5 e 96–98 (conclusões, páginas impressas 82–84). Descreve a configuração de 2025/26; montagem atual por confirmar.</w:t>
      </w:r>
    </w:p>
    <w:p>
      <w:r>
        <w:t>[2] Cronograma Projeto Smart Electric Kart V1.0, datado de 30 de setembro de 2026. Catálogo DOC-0043. Base desta proposta: tabela de tarefas e objetivos para fevereiro de 2027.</w:t>
      </w:r>
    </w:p>
    <w:p>
      <w:r>
        <w:t>Esta versão é uma proposta para discussão. A seleção da função de controlo, os recursos, os limiares de aceitação e as datas académicas aguardam definição com os orientadores.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V2.0 · 30 de setembro de 2026 · Proposta para discussão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SMART ELECTRIC KART  |  Proposta de projeto 2026/27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de projeto Smart Electric Kart 2026 2027</dc:title>
  <dc:subject/>
  <dc:creator>Armando Aimacaña e Irvin Chasi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