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i w:val="false"/>
          <w:iCs w:val="false"/>
          <w:sz w:val="32"/>
          <w:szCs w:val="32"/>
        </w:rPr>
        <w:t xml:space="preserve">Supplementary Material: Replication Protocol</w:t>
      </w:r>
    </w:p>
    <w:p>
      <w:pPr>
        <w:spacing w:after="240" w:before="0" w:line="360"/>
        <w:jc w:val="center"/>
      </w:pPr>
      <w:r>
        <w:rPr>
          <w:rFonts w:ascii="Times New Roman" w:cs="Times New Roman" w:eastAsia="Times New Roman" w:hAnsi="Times New Roman"/>
          <w:b w:val="false"/>
          <w:bCs w:val="false"/>
          <w:i w:val="false"/>
          <w:iCs w:val="false"/>
          <w:sz w:val="28"/>
          <w:szCs w:val="28"/>
        </w:rPr>
        <w:t xml:space="preserve">for </w:t>
      </w:r>
      <w:r>
        <w:rPr>
          <w:rFonts w:ascii="Times New Roman" w:cs="Times New Roman" w:eastAsia="Times New Roman" w:hAnsi="Times New Roman"/>
          <w:b w:val="false"/>
          <w:bCs w:val="false"/>
          <w:i/>
          <w:iCs/>
          <w:sz w:val="28"/>
          <w:szCs w:val="28"/>
        </w:rPr>
        <w:t xml:space="preserve">‘The Discursive Production of the Migration–Security Nexus in Iceland’</w:t>
      </w:r>
    </w:p>
    <w:p>
      <w:pPr>
        <w:pStyle w:val="Heading1"/>
        <w:spacing w:after="120" w:before="240" w:line="360"/>
      </w:pPr>
      <w:r>
        <w:rPr>
          <w:rFonts w:ascii="Times New Roman" w:cs="Times New Roman" w:eastAsia="Times New Roman" w:hAnsi="Times New Roman"/>
          <w:b/>
          <w:bCs/>
          <w:sz w:val="28"/>
          <w:szCs w:val="28"/>
        </w:rPr>
        <w:t xml:space="preserve">S1. Overview</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This document provides a complete replication protocol for the corpus-assisted discourse analysis presented in the accompanying article. The study conducts a 15-domain corpus-assisted discourse analysis of the Icelandic Gigaword Corpus (IGC), covering parliamentary debates (1909–2023), news media (1998–2023), and academic journals (2004–2021). The protocol is designed so that any researcher with access to the IGC corpus can reproduce every number, table, and figure reported in the article without ambiguity.</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All analysis was conducted using Python 3.10+ with standard libraries (json, re, csv, collections). Visualization uses matplotlib and pandas. No proprietary software is required. Total runtime is approximately 60 minutes on a consumer laptop (e.g., Apple M-series MacBook). The analysis pipeline consists of four stages: (1) data access and format verification, (2) parliamentary 15-domain analysis with co-occurrence computation, (3) news media 6-domain analysis, and (4) academic journal analysis, followed by visualization and correlation analysis.</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The replication package comprises three Python scripts (parla_full_genealogy.py, build_news1_2_domains.py, domain_counts_all_journals.py), this protocol document, and the complete 15-domain lexicon specification provided in Section S4 below. All scripts are available from the corresponding author upon reasonable request and as supplementary materials accompanying the published article.</w:t>
      </w:r>
    </w:p>
    <w:p>
      <w:pPr>
        <w:pStyle w:val="Heading1"/>
        <w:spacing w:after="120" w:before="240" w:line="360"/>
      </w:pPr>
      <w:r>
        <w:rPr>
          <w:rFonts w:ascii="Times New Roman" w:cs="Times New Roman" w:eastAsia="Times New Roman" w:hAnsi="Times New Roman"/>
          <w:b/>
          <w:bCs/>
          <w:sz w:val="28"/>
          <w:szCs w:val="28"/>
        </w:rPr>
        <w:t xml:space="preserve">S2. Data Access</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The IGC is available from the Árni Magnússon Institute for Icelandic Studies at </w:t>
      </w:r>
      <w:r>
        <w:rPr>
          <w:rFonts w:ascii="Times New Roman" w:cs="Times New Roman" w:eastAsia="Times New Roman" w:hAnsi="Times New Roman"/>
          <w:b w:val="false"/>
          <w:bCs w:val="false"/>
          <w:i/>
          <w:iCs/>
          <w:sz w:val="24"/>
          <w:szCs w:val="24"/>
        </w:rPr>
        <w:t xml:space="preserve">https://igc.arnastofnun.is</w:t>
      </w:r>
      <w:r>
        <w:rPr>
          <w:rFonts w:ascii="Times New Roman" w:cs="Times New Roman" w:eastAsia="Times New Roman" w:hAnsi="Times New Roman"/>
          <w:b w:val="false"/>
          <w:bCs w:val="false"/>
          <w:i w:val="false"/>
          <w:iCs w:val="false"/>
          <w:sz w:val="24"/>
          <w:szCs w:val="24"/>
        </w:rPr>
        <w:t xml:space="preserve">. Researchers should request access through the Institute’s standard data distribution channels. The version used in this study is IGC-2022 + IGC-2024ext, distributed in JSONL format.</w:t>
      </w:r>
    </w:p>
    <w:p>
      <w:pPr>
        <w:pStyle w:val="Heading2"/>
        <w:spacing w:after="100" w:before="200" w:line="360"/>
      </w:pPr>
      <w:r>
        <w:rPr>
          <w:rFonts w:ascii="Times New Roman" w:cs="Times New Roman" w:eastAsia="Times New Roman" w:hAnsi="Times New Roman"/>
          <w:b/>
          <w:bCs/>
          <w:sz w:val="26"/>
          <w:szCs w:val="26"/>
        </w:rPr>
        <w:t xml:space="preserve">S2.1 Required Subcorpora</w:t>
      </w:r>
    </w:p>
    <w:p>
      <w:pPr>
        <w:spacing w:after="120" w:before="0" w:line="360"/>
        <w:jc w:val="left"/>
      </w:pPr>
      <w:r>
        <w:rPr>
          <w:rFonts w:ascii="Times New Roman" w:cs="Times New Roman" w:eastAsia="Times New Roman" w:hAnsi="Times New Roman"/>
          <w:b/>
          <w:bCs/>
          <w:i w:val="false"/>
          <w:iCs w:val="false"/>
          <w:sz w:val="24"/>
          <w:szCs w:val="24"/>
        </w:rPr>
        <w:t xml:space="preserve">IGC-Parla: </w:t>
      </w:r>
      <w:r>
        <w:rPr>
          <w:rFonts w:ascii="Times New Roman" w:cs="Times New Roman" w:eastAsia="Times New Roman" w:hAnsi="Times New Roman"/>
          <w:b w:val="false"/>
          <w:bCs w:val="false"/>
          <w:i w:val="false"/>
          <w:iCs w:val="false"/>
          <w:sz w:val="24"/>
          <w:szCs w:val="24"/>
        </w:rPr>
        <w:t xml:space="preserve">Located at converted-corpora/igc_parla/igc_parla.jsonl. Contains 19,502 documents spanning 1909–2023. This is the primary subcorpus for the 15-domain parliamentary analysis. Each document represents a single parliamentary contribution (speech) in the Alþingi.</w:t>
      </w:r>
    </w:p>
    <w:p>
      <w:pPr>
        <w:spacing w:after="120" w:before="0" w:line="360"/>
        <w:jc w:val="left"/>
      </w:pPr>
      <w:r>
        <w:rPr>
          <w:rFonts w:ascii="Times New Roman" w:cs="Times New Roman" w:eastAsia="Times New Roman" w:hAnsi="Times New Roman"/>
          <w:b/>
          <w:bCs/>
          <w:i w:val="false"/>
          <w:iCs w:val="false"/>
          <w:sz w:val="24"/>
          <w:szCs w:val="24"/>
        </w:rPr>
        <w:t xml:space="preserve">IGC-News1 + IGC-News2: </w:t>
      </w:r>
      <w:r>
        <w:rPr>
          <w:rFonts w:ascii="Times New Roman" w:cs="Times New Roman" w:eastAsia="Times New Roman" w:hAnsi="Times New Roman"/>
          <w:b w:val="false"/>
          <w:bCs w:val="false"/>
          <w:i w:val="false"/>
          <w:iCs w:val="false"/>
          <w:sz w:val="24"/>
          <w:szCs w:val="24"/>
        </w:rPr>
        <w:t xml:space="preserve">Located at converted-corpora/igc_news1/ and converted-corpora/igc_news2/. These combined subcorpora cover Icelandic news media from 1998 to 2023, drawing on multiple outlets including Morgunblaðið, Fréttablaðið, Vísir, RÚV, and DV. Each directory contains multiple JSONL files.</w:t>
      </w:r>
    </w:p>
    <w:p>
      <w:pPr>
        <w:spacing w:after="120" w:before="0" w:line="360"/>
        <w:jc w:val="left"/>
      </w:pPr>
      <w:r>
        <w:rPr>
          <w:rFonts w:ascii="Times New Roman" w:cs="Times New Roman" w:eastAsia="Times New Roman" w:hAnsi="Times New Roman"/>
          <w:b/>
          <w:bCs/>
          <w:i w:val="false"/>
          <w:iCs w:val="false"/>
          <w:sz w:val="24"/>
          <w:szCs w:val="24"/>
        </w:rPr>
        <w:t xml:space="preserve">IGC-Journals: </w:t>
      </w:r>
      <w:r>
        <w:rPr>
          <w:rFonts w:ascii="Times New Roman" w:cs="Times New Roman" w:eastAsia="Times New Roman" w:hAnsi="Times New Roman"/>
          <w:b w:val="false"/>
          <w:bCs w:val="false"/>
          <w:i w:val="false"/>
          <w:iCs w:val="false"/>
          <w:sz w:val="24"/>
          <w:szCs w:val="24"/>
        </w:rPr>
        <w:t xml:space="preserve">Located at converted-corpora/igc_journals_hr/, igc_journals_gr/, and related subdirectories. The academic journals subcorpus covers 2004–2021. The scale is substantially smaller than the parliamentary and news subcorpora, reflecting the limited volume of Icelandic-language academic publishing.</w:t>
      </w:r>
    </w:p>
    <w:p>
      <w:pPr>
        <w:pStyle w:val="Heading2"/>
        <w:spacing w:after="100" w:before="200" w:line="360"/>
      </w:pPr>
      <w:r>
        <w:rPr>
          <w:rFonts w:ascii="Times New Roman" w:cs="Times New Roman" w:eastAsia="Times New Roman" w:hAnsi="Times New Roman"/>
          <w:b/>
          <w:bCs/>
          <w:sz w:val="26"/>
          <w:szCs w:val="26"/>
        </w:rPr>
        <w:t xml:space="preserve">S2.2 File Format</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Each line in a JSONL file is a JSON object with the following structure:</w:t>
      </w:r>
    </w:p>
    <w:p>
      <w:pPr>
        <w:shd w:fill="F2F2F2" w:val="clear"/>
        <w:spacing w:after="60" w:before="60" w:line="240"/>
        <w:ind w:left="360"/>
      </w:pPr>
      <w:r>
        <w:rPr>
          <w:rFonts w:ascii="Courier New" w:cs="Courier New" w:eastAsia="Courier New" w:hAnsi="Courier New"/>
          <w:sz w:val="20"/>
          <w:szCs w:val="20"/>
        </w:rPr>
        <w:t xml:space="preserve">{"document": "text...", "metadata": {"xml_id": "...", "publish_timestamp": "YYYY-MM-DD", ...}}</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Important notes on format variation: Some records use "text" instead of "document" as the key for the speech content. The analysis scripts accommodate this by trying the "document" key first and falling back to "text". The publication year is extracted from the first four characters of the metadata.publish_timestamp field. Records with missing or unparseable timestamps are excluded from the temporal analysis but included in aggregate counts.</w:t>
      </w:r>
    </w:p>
    <w:p>
      <w:pPr>
        <w:pStyle w:val="Heading1"/>
        <w:spacing w:after="120" w:before="240" w:line="360"/>
      </w:pPr>
      <w:r>
        <w:rPr>
          <w:rFonts w:ascii="Times New Roman" w:cs="Times New Roman" w:eastAsia="Times New Roman" w:hAnsi="Times New Roman"/>
          <w:b/>
          <w:bCs/>
          <w:sz w:val="28"/>
          <w:szCs w:val="28"/>
        </w:rPr>
        <w:t xml:space="preserve">S3. Step-by-Step Replication Procedure</w:t>
      </w:r>
    </w:p>
    <w:p>
      <w:pPr>
        <w:pStyle w:val="Heading2"/>
        <w:spacing w:after="100" w:before="200" w:line="360"/>
      </w:pPr>
      <w:r>
        <w:rPr>
          <w:rFonts w:ascii="Times New Roman" w:cs="Times New Roman" w:eastAsia="Times New Roman" w:hAnsi="Times New Roman"/>
          <w:b/>
          <w:bCs/>
          <w:sz w:val="26"/>
          <w:szCs w:val="26"/>
        </w:rPr>
        <w:t xml:space="preserve">Step 1: Environment Setup</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Create a Python 3.10+ environment and install the required packages:</w:t>
      </w:r>
    </w:p>
    <w:p>
      <w:pPr>
        <w:shd w:fill="F2F2F2" w:val="clear"/>
        <w:spacing w:after="60" w:before="60" w:line="240"/>
        <w:ind w:left="360"/>
      </w:pPr>
      <w:r>
        <w:rPr>
          <w:rFonts w:ascii="Courier New" w:cs="Courier New" w:eastAsia="Courier New" w:hAnsi="Courier New"/>
          <w:sz w:val="20"/>
          <w:szCs w:val="20"/>
        </w:rPr>
        <w:t xml:space="preserve">pip install pandas matplotlib numpy</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No additional packages are required. All core text processing uses Python standard library modules: json for JSONL parsing, re for regular expression compilation and matching, csv for output file writing, and collections.Counter for frequency aggregation. The scripts are compatible with macOS, Linux, and Windows.</w:t>
      </w:r>
    </w:p>
    <w:p>
      <w:pPr>
        <w:pStyle w:val="Heading2"/>
        <w:spacing w:after="100" w:before="200" w:line="360"/>
      </w:pPr>
      <w:r>
        <w:rPr>
          <w:rFonts w:ascii="Times New Roman" w:cs="Times New Roman" w:eastAsia="Times New Roman" w:hAnsi="Times New Roman"/>
          <w:b/>
          <w:bCs/>
          <w:sz w:val="26"/>
          <w:szCs w:val="26"/>
        </w:rPr>
        <w:t xml:space="preserve">Step 2: Parliamentary Analysis (15 domains)</w:t>
      </w:r>
    </w:p>
    <w:p>
      <w:pPr>
        <w:spacing w:after="120" w:before="0" w:line="360"/>
        <w:jc w:val="left"/>
      </w:pPr>
      <w:r>
        <w:rPr>
          <w:rFonts w:ascii="Times New Roman" w:cs="Times New Roman" w:eastAsia="Times New Roman" w:hAnsi="Times New Roman"/>
          <w:b/>
          <w:bCs/>
          <w:i w:val="false"/>
          <w:iCs w:val="false"/>
          <w:sz w:val="24"/>
          <w:szCs w:val="24"/>
        </w:rPr>
        <w:t xml:space="preserve">Script: </w:t>
      </w:r>
      <w:r>
        <w:rPr>
          <w:rFonts w:ascii="Courier New" w:cs="Courier New" w:eastAsia="Courier New" w:hAnsi="Courier New"/>
          <w:b w:val="false"/>
          <w:bCs w:val="false"/>
          <w:i w:val="false"/>
          <w:iCs w:val="false"/>
          <w:sz w:val="22"/>
          <w:szCs w:val="22"/>
        </w:rPr>
        <w:t xml:space="preserve">parla_full_genealogy.py</w:t>
      </w:r>
    </w:p>
    <w:p>
      <w:pPr>
        <w:shd w:fill="F2F2F2" w:val="clear"/>
        <w:spacing w:after="60" w:before="60" w:line="240"/>
        <w:ind w:left="360"/>
      </w:pPr>
      <w:r>
        <w:rPr>
          <w:rFonts w:ascii="Courier New" w:cs="Courier New" w:eastAsia="Courier New" w:hAnsi="Courier New"/>
          <w:sz w:val="20"/>
          <w:szCs w:val="20"/>
        </w:rPr>
        <w:t xml:space="preserve">python parla_full_genealogy.py /path/to/igc_parla.jsonl --output-dir parla_results</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This script performs the following operations sequentially:</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1. Opens the JSONL file and reads each line as a JSON object, parsing with json.loads().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2. Extracts the text field from each record (tries the "document" key first, then "text").</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3. Extracts the publication year from metadata.publish_timestamp (first 4 characters).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4. Converts the document text to lowercase for case-insensitive matching.</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5. For each of 15 domains, applies pre-compiled regex patterns to the lowercased text.</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6. Multi-word stems (those containing spaces) use case-folded substring matching via Python’s "in" operator on the lowercased text.</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7. Single-word stems use regex with a Unicode-safe left-word-boundary lookbehind: (?&lt;![^\W_]) followed by the stem. This correctly handles Icelandic characters (ð, þ, æ, ö) where the standard \b word boundary fails.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8. For each document, records: (a) which domains are present (binary), (b) stem-level match counts, and (c) concordance lines (±20 tokens around each match, up to 50 per stem).</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9. Writes five output files to the specified directory.</w:t>
      </w:r>
    </w:p>
    <w:p>
      <w:pPr>
        <w:spacing w:after="120" w:before="120" w:line="360"/>
        <w:jc w:val="left"/>
      </w:pPr>
      <w:r>
        <w:rPr>
          <w:rFonts w:ascii="Times New Roman" w:cs="Times New Roman" w:eastAsia="Times New Roman" w:hAnsi="Times New Roman"/>
          <w:b/>
          <w:bCs/>
          <w:i w:val="false"/>
          <w:iCs w:val="false"/>
          <w:sz w:val="24"/>
          <w:szCs w:val="24"/>
        </w:rPr>
        <w:t xml:space="preserve">Expected output files: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parla_domain_stems_by_year.csv — Rows indexed by domain_id × stem, columns by year. Contains raw stem-level match counts per year.</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parla_domains_by_year.csv — Rows indexed by domain_id, columns by year. Contains the number of documents classified into each domain per year (binary: each document counted once per domain).</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parla_domain_cooccurrence.csv — A 15×15 symmetric matrix where cell (i, j) records the number of documents classified into both domain i and domain j.</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parla_concordances.tsv — KWIC (Key Word In Context) concordance lines, up to 50 per stem, with ±20 tokens of context. Total expected: 6,018 concordance lines.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parla_yearly_summary.csv — Year-level summary with columns for total_docs, total_tokens, each domain count, and rates per 1,000 documents.</w:t>
      </w:r>
    </w:p>
    <w:p>
      <w:pPr>
        <w:spacing w:after="120" w:before="0" w:line="360"/>
        <w:jc w:val="left"/>
      </w:pPr>
      <w:r>
        <w:rPr>
          <w:rFonts w:ascii="Times New Roman" w:cs="Times New Roman" w:eastAsia="Times New Roman" w:hAnsi="Times New Roman"/>
          <w:b/>
          <w:bCs/>
          <w:i w:val="false"/>
          <w:iCs w:val="false"/>
          <w:sz w:val="24"/>
          <w:szCs w:val="24"/>
        </w:rPr>
        <w:t xml:space="preserve">Verification: </w:t>
      </w:r>
      <w:r>
        <w:rPr>
          <w:rFonts w:ascii="Times New Roman" w:cs="Times New Roman" w:eastAsia="Times New Roman" w:hAnsi="Times New Roman"/>
          <w:b w:val="false"/>
          <w:bCs w:val="false"/>
          <w:i w:val="false"/>
          <w:iCs w:val="false"/>
          <w:sz w:val="24"/>
          <w:szCs w:val="24"/>
        </w:rPr>
        <w:t xml:space="preserve">The script should report 19,502 total documents processed, 0 JSON parse errors, and years spanning 1909–2023 (114 unique years). Console output includes a summary of domain totals that should match the values in Table S1 (Section S6).</w:t>
      </w:r>
    </w:p>
    <w:p>
      <w:pPr>
        <w:pStyle w:val="Heading2"/>
        <w:spacing w:after="100" w:before="200" w:line="360"/>
      </w:pPr>
      <w:r>
        <w:rPr>
          <w:rFonts w:ascii="Times New Roman" w:cs="Times New Roman" w:eastAsia="Times New Roman" w:hAnsi="Times New Roman"/>
          <w:b/>
          <w:bCs/>
          <w:sz w:val="26"/>
          <w:szCs w:val="26"/>
        </w:rPr>
        <w:t xml:space="preserve">Step 3: News Media Analysis (6 domains)</w:t>
      </w:r>
    </w:p>
    <w:p>
      <w:pPr>
        <w:spacing w:after="120" w:before="0" w:line="360"/>
        <w:jc w:val="left"/>
      </w:pPr>
      <w:r>
        <w:rPr>
          <w:rFonts w:ascii="Times New Roman" w:cs="Times New Roman" w:eastAsia="Times New Roman" w:hAnsi="Times New Roman"/>
          <w:b/>
          <w:bCs/>
          <w:i w:val="false"/>
          <w:iCs w:val="false"/>
          <w:sz w:val="24"/>
          <w:szCs w:val="24"/>
        </w:rPr>
        <w:t xml:space="preserve">Script: </w:t>
      </w:r>
      <w:r>
        <w:rPr>
          <w:rFonts w:ascii="Courier New" w:cs="Courier New" w:eastAsia="Courier New" w:hAnsi="Courier New"/>
          <w:b w:val="false"/>
          <w:bCs w:val="false"/>
          <w:i w:val="false"/>
          <w:iCs w:val="false"/>
          <w:sz w:val="22"/>
          <w:szCs w:val="22"/>
        </w:rPr>
        <w:t xml:space="preserve">build_news1_2_domains.py</w:t>
      </w:r>
    </w:p>
    <w:p>
      <w:pPr>
        <w:shd w:fill="F2F2F2" w:val="clear"/>
        <w:spacing w:after="60" w:before="60" w:line="240"/>
        <w:ind w:left="360"/>
      </w:pPr>
      <w:r>
        <w:rPr>
          <w:rFonts w:ascii="Courier New" w:cs="Courier New" w:eastAsia="Courier New" w:hAnsi="Courier New"/>
          <w:sz w:val="20"/>
          <w:szCs w:val="20"/>
        </w:rPr>
        <w:t xml:space="preserve">python build_news1_2_domains.py /path/to/news1/ /path/to/news2/ --output migsec_domain_news1_2_2000_2023.csv</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This script uses the same stem-matching methodology as the parliamentary analysis but applies a reduced 6-domain classification scheme: (1) asylum/refuge, (2) border/legal governance, (3) foreigners/alterity, (4) immigration/movement, (5) integration/welfare, and (6) security/policing. The script iterates over all JSONL files in both news directories, processing each file sequentially. The output CSV contains year-level document counts for each domain.</w:t>
      </w:r>
    </w:p>
    <w:p>
      <w:pPr>
        <w:pStyle w:val="Heading2"/>
        <w:spacing w:after="100" w:before="200" w:line="360"/>
      </w:pPr>
      <w:r>
        <w:rPr>
          <w:rFonts w:ascii="Times New Roman" w:cs="Times New Roman" w:eastAsia="Times New Roman" w:hAnsi="Times New Roman"/>
          <w:b/>
          <w:bCs/>
          <w:sz w:val="26"/>
          <w:szCs w:val="26"/>
        </w:rPr>
        <w:t xml:space="preserve">Step 4: Journal Analysis</w:t>
      </w:r>
    </w:p>
    <w:p>
      <w:pPr>
        <w:spacing w:after="120" w:before="0" w:line="360"/>
        <w:jc w:val="left"/>
      </w:pPr>
      <w:r>
        <w:rPr>
          <w:rFonts w:ascii="Times New Roman" w:cs="Times New Roman" w:eastAsia="Times New Roman" w:hAnsi="Times New Roman"/>
          <w:b/>
          <w:bCs/>
          <w:i w:val="false"/>
          <w:iCs w:val="false"/>
          <w:sz w:val="24"/>
          <w:szCs w:val="24"/>
        </w:rPr>
        <w:t xml:space="preserve">Script: </w:t>
      </w:r>
      <w:r>
        <w:rPr>
          <w:rFonts w:ascii="Courier New" w:cs="Courier New" w:eastAsia="Courier New" w:hAnsi="Courier New"/>
          <w:b w:val="false"/>
          <w:bCs w:val="false"/>
          <w:i w:val="false"/>
          <w:iCs w:val="false"/>
          <w:sz w:val="22"/>
          <w:szCs w:val="22"/>
        </w:rPr>
        <w:t xml:space="preserve">domain_counts_all_journals.py</w:t>
      </w:r>
    </w:p>
    <w:p>
      <w:pPr>
        <w:shd w:fill="F2F2F2" w:val="clear"/>
        <w:spacing w:after="60" w:before="60" w:line="240"/>
        <w:ind w:left="360"/>
      </w:pPr>
      <w:r>
        <w:rPr>
          <w:rFonts w:ascii="Courier New" w:cs="Courier New" w:eastAsia="Courier New" w:hAnsi="Courier New"/>
          <w:sz w:val="20"/>
          <w:szCs w:val="20"/>
        </w:rPr>
        <w:t xml:space="preserve">python domain_counts_all_journals.py /path/to/journals/ --output migsec_domain_by_year_table.csv</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Applies the same 6-domain classification to the academic journal subcorpora (HR, GR, AIF, BLI subdirectories). Output format matches the news media CSV.</w:t>
      </w:r>
    </w:p>
    <w:p>
      <w:pPr>
        <w:pStyle w:val="Heading2"/>
        <w:spacing w:after="100" w:before="200" w:line="360"/>
      </w:pPr>
      <w:r>
        <w:rPr>
          <w:rFonts w:ascii="Times New Roman" w:cs="Times New Roman" w:eastAsia="Times New Roman" w:hAnsi="Times New Roman"/>
          <w:b/>
          <w:bCs/>
          <w:sz w:val="26"/>
          <w:szCs w:val="26"/>
        </w:rPr>
        <w:t xml:space="preserve">Step 5: Visualization</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All charts are generated using matplotlib 3.8+ with publication-quality parameters. The visualization script reads the CSV output files from Steps 2–4 and produces all figures. Key parameters are documented in Section S5. Charts use 300 DPI, 5-year centred rolling averages (min_periods=1), and the domain color scheme specified in Section S5.</w:t>
      </w:r>
    </w:p>
    <w:p>
      <w:pPr>
        <w:pStyle w:val="Heading2"/>
        <w:spacing w:after="100" w:before="200" w:line="360"/>
      </w:pPr>
      <w:r>
        <w:rPr>
          <w:rFonts w:ascii="Times New Roman" w:cs="Times New Roman" w:eastAsia="Times New Roman" w:hAnsi="Times New Roman"/>
          <w:b/>
          <w:bCs/>
          <w:sz w:val="26"/>
          <w:szCs w:val="26"/>
        </w:rPr>
        <w:t xml:space="preserve">Step 6: Co-occurrence and Correlation Analysis</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The co-occurrence matrix and Pearson correlations are computed from the parliamentary output:</w:t>
      </w:r>
    </w:p>
    <w:p>
      <w:pPr>
        <w:shd w:fill="F2F2F2" w:val="clear"/>
        <w:spacing w:after="60" w:before="60" w:line="240"/>
        <w:ind w:left="360"/>
      </w:pPr>
      <w:r>
        <w:rPr>
          <w:rFonts w:ascii="Courier New" w:cs="Courier New" w:eastAsia="Courier New" w:hAnsi="Courier New"/>
          <w:sz w:val="20"/>
          <w:szCs w:val="20"/>
        </w:rPr>
        <w:t xml:space="preserve">import pandas as pd</w:t>
      </w:r>
    </w:p>
    <w:p>
      <w:pPr>
        <w:shd w:fill="F2F2F2" w:val="clear"/>
        <w:spacing w:after="60" w:before="60" w:line="240"/>
        <w:ind w:left="360"/>
      </w:pPr>
      <w:r>
        <w:rPr>
          <w:rFonts w:ascii="Courier New" w:cs="Courier New" w:eastAsia="Courier New" w:hAnsi="Courier New"/>
          <w:sz w:val="20"/>
          <w:szCs w:val="20"/>
        </w:rPr>
        <w:t xml:space="preserve">df = pd.read_csv('parla_domains_by_year.csv', index_col=0)</w:t>
      </w:r>
    </w:p>
    <w:p>
      <w:pPr>
        <w:shd w:fill="F2F2F2" w:val="clear"/>
        <w:spacing w:after="60" w:before="60" w:line="240"/>
        <w:ind w:left="360"/>
      </w:pPr>
      <w:r>
        <w:rPr>
          <w:rFonts w:ascii="Courier New" w:cs="Courier New" w:eastAsia="Courier New" w:hAnsi="Courier New"/>
          <w:sz w:val="20"/>
          <w:szCs w:val="20"/>
        </w:rPr>
        <w:t xml:space="preserve"># Pearson correlation by decade</w:t>
      </w:r>
    </w:p>
    <w:p>
      <w:pPr>
        <w:shd w:fill="F2F2F2" w:val="clear"/>
        <w:spacing w:after="60" w:before="60" w:line="240"/>
        <w:ind w:left="360"/>
      </w:pPr>
      <w:r>
        <w:rPr>
          <w:rFonts w:ascii="Courier New" w:cs="Courier New" w:eastAsia="Courier New" w:hAnsi="Courier New"/>
          <w:sz w:val="20"/>
          <w:szCs w:val="20"/>
        </w:rPr>
        <w:t xml:space="preserve">corr = df['Security / policing'].corr(df['Racial terms / racialized language'])</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Normalised co-occurrence is computed as the raw co-occurrence count divided by the geometric mean of the two domain totals, yielding values between 0 and 1 that control for differences in domain frequency. Decade-level correlations are computed by subsetting the year index into 10-year bins (1910–1919, 1920–1929, etc.) and computing Pearson r for each bin. The 15×15 co-occurrence matrix used for Figure 11 is read directly from parla_domain_cooccurrence.csv.</w:t>
      </w:r>
    </w:p>
    <w:p>
      <w:r>
        <w:br w:type="page"/>
      </w:r>
    </w:p>
    <w:p>
      <w:pPr>
        <w:pStyle w:val="Heading1"/>
        <w:spacing w:after="120" w:before="240" w:line="360"/>
      </w:pPr>
      <w:r>
        <w:rPr>
          <w:rFonts w:ascii="Times New Roman" w:cs="Times New Roman" w:eastAsia="Times New Roman" w:hAnsi="Times New Roman"/>
          <w:b/>
          <w:bCs/>
          <w:sz w:val="28"/>
          <w:szCs w:val="28"/>
        </w:rPr>
        <w:t xml:space="preserve">S4. The 15-Domain Lexicon (Complete)</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The following tables provide the complete lexicon specification for all 15 discursive domains used in the parliamentary analysis. Each table lists every stem in its Icelandic form, an English gloss, and the exact regex pattern (or substring match notation) used in the Python scripts. The lexicon was developed iteratively through concordance analysis and refined to minimise false positives while capturing the morphological variants characteristic of Icelandic inflection.</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Two matching strategies are employed. For single-word stems, the pattern uses a Unicode-safe left-word-boundary lookbehind: (?&lt;![^\W_]) followed by the stem. This negative lookbehind asserts that the character immediately before the match is either a word boundary or the start of the string, handling Icelandic characters (ð, þ, æ, ö) that cause the standard \b boundary to fail. For multi-word stems (those containing spaces), case-folded substring matching is used: the lowercased document text is searched for the lowercased multi-word string using Python’s native string containment operator.</w:t>
      </w:r>
    </w:p>
    <w:p>
      <w:pPr>
        <w:pStyle w:val="Heading2"/>
        <w:spacing w:after="100" w:before="200" w:line="360"/>
      </w:pPr>
      <w:r>
        <w:rPr>
          <w:rFonts w:ascii="Times New Roman" w:cs="Times New Roman" w:eastAsia="Times New Roman" w:hAnsi="Times New Roman"/>
          <w:b/>
          <w:bCs/>
          <w:sz w:val="26"/>
          <w:szCs w:val="26"/>
        </w:rPr>
        <w:t xml:space="preserve">Domain 1: Immigration / movement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innflytjend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immigrant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(?&lt;![^\W_])innflytjend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innflytjand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immigrant (variant)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(?&lt;![^\W_])innflytjand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aðflutning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immigration/moving-in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(?&lt;![^\W_])aðflutning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búseta erlend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foreign residence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 (case-folded)</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2: Foreigners / alterity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útlending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foreigner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(?&lt;![^\W_])útlending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utlending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foreigner (no accent)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(?&lt;![^\W_])utlending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erlend ríkisborgari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foreign citizen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erlent vinnuafl</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foreign labour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3: Asylum / refuge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hælisleit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asylum seeker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(?&lt;![^\W_])hælisleit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haelisleit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asylum seeker (no accent)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(?&lt;![^\W_])haelisleit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flóttafólk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refugees (people)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(?&lt;![^\W_])flóttafólk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flóttamenn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refugees (men/people)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(?&lt;![^\W_])flóttamenn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flóttamaður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refugee (singular)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(?&lt;![^\W_])flóttamaður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flóttama</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refugee (stem)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(?&lt;![^\W_])flóttama</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alþjóðleg vernd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international protection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umsókn um vernd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application for protection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4: Border / legal governance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landamær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border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(?&lt;![^\W_])landamær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vegabréfsáritun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visa</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(?&lt;![^\W_])vegabréfsáritun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dvalarleyf</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residence permit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(?&lt;![^\W_])dvalarleyf</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útlendingastofnun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Directorate of Immigration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(?&lt;![^\W_])útlendingastofnun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brottvísun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deportation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(?&lt;![^\W_])brottvísun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brottvisun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deportation (no accent)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(?&lt;![^\W_])brottvisun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framsending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transfer/forwarding</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(?&lt;![^\W_])framsending</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5: Security / policing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almannaöryggi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public safety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(?&lt;![^\W_])almannaöryggi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lögreglu</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police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(?&lt;![^\W_])lögreglu</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logreglu</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police (no accent)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(?&lt;![^\W_])logreglu</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ríkislögreglu</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national police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(?&lt;![^\W_])ríkislögreglu</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glæp</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crime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(?&lt;![^\W_])glæp</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handtek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arrest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(?&lt;![^\W_])handtek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ógn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threat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(?&lt;![^\W_])ógn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hryðjuverk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terrorism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(?&lt;![^\W_])hryðjuverk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ofbeldi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violence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(?&lt;![^\W_])ofbeldi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fangels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prison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(?&lt;![^\W_])fangels</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6: Integration / welfare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aðlögun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adaptation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(?&lt;![^\W_])aðlögun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samþætting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integration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(?&lt;![^\W_])samþætting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tungumálanám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language learning</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(?&lt;![^\W_])tungumálanám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íslenskunám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Icelandic learning</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(?&lt;![^\W_])íslenskunám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félagsþjónust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social services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(?&lt;![^\W_])félagsþjónust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félagslega þjónust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social service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vinnumarkaður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labour market (nom)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(?&lt;![^\W_])vinnumarkaður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vinnumarkað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labour market (acc)</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(?&lt;![^\W_])vinnumarkað</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7: Housing / quartering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húsnæði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housing</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(?&lt;![^\W_])húsnæði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húsaleig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(?&lt;![^\W_])húsaleig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húsaleigufrumvarp</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rent bill</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(?&lt;![^\W_])húsaleigufrumvarp</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herbergi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room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(?&lt;![^\W_])herbergi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íbúð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apartment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(?&lt;![^\W_])íbúð</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innvistun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institutionalisation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(?&lt;![^\W_])innvistun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húsakipan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house arrangement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(?&lt;![^\W_])húsakipan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geymsluhús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warehouse/storage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(?&lt;![^\W_])geymsluhús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niðursetning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pauper placement (sing)</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(?&lt;![^\W_])niðursetning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niðursetningar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pauper placement (pl)</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(?&lt;![^\W_])niðursetningar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friðhelgi heimil</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sanctity of the home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heimilisfriðu</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domestic peace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(?&lt;![^\W_])heimilisfriðu</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útburðarheimild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eviction authority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(?&lt;![^\W_])útburðarheimild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utanhéraðsm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non-resident (stem)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(?&lt;![^\W_])utanhéraðsm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innanhéraðsm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local resident (stem)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(?&lt;![^\W_])innanhéraðsm</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8: Morality / Ástandið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ástand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situation/condition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(?&lt;![^\W_])ástand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siðferðis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moral/ethical</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(?&lt;![^\W_])siðferðis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siðferðislögreglu</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morality police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(?&lt;![^\W_])siðferðislögreglu</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lauslát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promiscuity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(?&lt;![^\W_])lauslát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varnarlaus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defenceless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(?&lt;![^\W_])varnarlaus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kynferðis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sexual</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(?&lt;![^\W_])kynferðis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kynlíf</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sex life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(?&lt;![^\W_])kynlíf</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vændi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prostitution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(?&lt;![^\W_])vændi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Kleppjárnsreyk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Kleppjárnsreykir (detention camp)</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(?&lt;![^\W_])Kleppjárnsreyk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sauðárkrók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Sauðárkrókur (detention location)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(?&lt;![^\W_])sauðárkrók</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9: Poverty / poor law</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fátæk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poor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(?&lt;![^\W_])fátæk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fátækra</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of the poor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(?&lt;![^\W_])fátækra</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fátækling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pauper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(?&lt;![^\W_])fátækling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framfærslu</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maintenance/support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(?&lt;![^\W_])framfærslu</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framfærslulög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poor law</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(?&lt;![^\W_])framfærslulög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framfærslusveit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poor-relief district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(?&lt;![^\W_])framfærslusveit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heimilislaus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homeless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(?&lt;![^\W_])heimilislaus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heimilisleysi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homelessness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(?&lt;![^\W_])heimilisleysi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ómagar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dependants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(?&lt;![^\W_])ómagar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ómögul</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impossible/destitute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(?&lt;![^\W_])ómögul</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fátækrasjóð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poor fund</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(?&lt;![^\W_])fátækrasjóð</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10: Labour discipline / emergency economy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gengislög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currency laws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(?&lt;![^\W_])gengislög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kaupgjald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wages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(?&lt;![^\W_])kaupgjald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dýrtíð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inflation/cost of living</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(?&lt;![^\W_])dýrtíð</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dýrtíðaruppbætur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cost-of-living supplements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(?&lt;![^\W_])dýrtíðaruppbætur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verkfall</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strike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(?&lt;![^\W_])verkfall</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verkfalls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strike (gen)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(?&lt;![^\W_])verkfalls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gerðardóm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arbitration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(?&lt;![^\W_])gerðardóm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kaupmálasamning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wage agreement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(?&lt;![^\W_])kaupmálasamning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verðtrygg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price-indexed</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(?&lt;![^\W_])verðtrygg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launakröf</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wage demand</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(?&lt;![^\W_])launakröf</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vinnufriðu</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labour peace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(?&lt;![^\W_])vinnufriðu</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verkamenn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workers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(?&lt;![^\W_])verkamenn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verkalyð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working class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(?&lt;![^\W_])verkalyð</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neyðarráðstaf</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emergency measure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(?&lt;![^\W_])neyðarráðstaf</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11: Racial terms / racialized language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negri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N-word (Icelandic)</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(?&lt;![^\W_])negri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negra</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N-word (variant)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(?&lt;![^\W_])negra</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neger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N-word (Danish/German form)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(?&lt;![^\W_])neger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svertingi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dark one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(?&lt;![^\W_])svertingi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svertingja</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dark one (gen/acc)</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(?&lt;![^\W_])svertingja</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blámaður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blue/dark man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(?&lt;![^\W_])blámaður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blámann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blue/dark man (oblique)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(?&lt;![^\W_])blámann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blökkumaður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coloured man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(?&lt;![^\W_])blökkumaður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blökkumann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coloured man (oblique)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(?&lt;![^\W_])blökkumann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litaður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coloured</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(?&lt;![^\W_])litaður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litað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coloured (neuter)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(?&lt;![^\W_])litað</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kynþátt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race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(?&lt;![^\W_])kynþátt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þjóðern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ethnicity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(?&lt;![^\W_])þjóðern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kínverj</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Chinese person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(?&lt;![^\W_])kínverj</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gyðing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Jew</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(?&lt;![^\W_])gyðing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múslim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Muslim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(?&lt;![^\W_])múslim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sígaun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Roma/Gypsy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(?&lt;![^\W_])sígaun</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12: Military / occupation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setulið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garrison/occupation force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(?&lt;![^\W_])setulið</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setuliðs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garrison (gen)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(?&lt;![^\W_])setuliðs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hernám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occupation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(?&lt;![^\W_])hernám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hernaðar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military (gen)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(?&lt;![^\W_])hernaðar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hersveit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military unit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(?&lt;![^\W_])hersveit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varnarsvæð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defence area</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(?&lt;![^\W_])varnarsvæð</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varnarliðs</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defence force (gen)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(?&lt;![^\W_])varnarliðs</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varnarliði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defence force (dat)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(?&lt;![^\W_])varnarliði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Keflavík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Keflavík (NATO base)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(?&lt;![^\W_])Keflavík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Miðnesheiði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Miðnesheiði (base area)</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(?&lt;![^\W_])Miðnesheiði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bandaríkjaher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American military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(?&lt;![^\W_])bandaríkjaher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brezkur her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British military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breska her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British military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13: Women / gender / sexuality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kvenréttind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women's rights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(?&lt;![^\W_])kvenréttind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kvennaréttind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women's rights (variant)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(?&lt;![^\W_])kvennaréttind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kvenna</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of women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(?&lt;![^\W_])kvenna</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stúlk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girl</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(?&lt;![^\W_])stúlk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mæðra</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of mothers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(?&lt;![^\W_])mæðra</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barnsmóðir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child's mother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(?&lt;![^\W_])barnsmóðir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einstæð</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single (parent)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(?&lt;![^\W_])einstæð</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launabarn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illegitimate child</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(?&lt;![^\W_])launabarn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barnshafandi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pregnant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(?&lt;![^\W_])barnshafandi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ólögleg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illegal (fem)</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(?&lt;![^\W_])ólögleg</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14: National identity / belonging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íslensk menning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Icelandic culture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íslenskri menning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Icelandic culture (dat)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þjóðleg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national</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(?&lt;![^\W_])þjóðleg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þjóðlíkam</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body politic</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(?&lt;![^\W_])þjóðlíkam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hreinleik</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purity</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(?&lt;![^\W_])hreinleik</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kynstofn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race/stock</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(?&lt;![^\W_])kynstofn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norræn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Nordic</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(?&lt;![^\W_])norræn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norðurgerman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North Germanic</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(?&lt;![^\W_])norðurgerman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hvítra manna</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of white men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substring match</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hvít</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white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(?&lt;![^\W_])hvít</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2"/>
        <w:spacing w:after="100" w:before="200" w:line="360"/>
      </w:pPr>
      <w:r>
        <w:rPr>
          <w:rFonts w:ascii="Times New Roman" w:cs="Times New Roman" w:eastAsia="Times New Roman" w:hAnsi="Times New Roman"/>
          <w:b/>
          <w:bCs/>
          <w:sz w:val="26"/>
          <w:szCs w:val="26"/>
        </w:rPr>
        <w:t xml:space="preserve">Domain 15: Welfare state / social services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72"/>
      </w:tblGrid>
      <w:tr>
        <w:tc>
          <w:tcPr>
            <w:tcW w:type="dxa" w:w="2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Stem (Icelandic)</w:t>
            </w:r>
          </w:p>
        </w:tc>
        <w:tc>
          <w:tcPr>
            <w:tcW w:type="dxa" w:w="3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English gloss</w:t>
            </w:r>
          </w:p>
        </w:tc>
        <w:tc>
          <w:tcPr>
            <w:tcW w:type="dxa" w:w="32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Regex pattern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tryggingastofnun</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social insurance institute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(?&lt;![^\W_])tryggingastofnun</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almannatrygging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social insurance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(?&lt;![^\W_])almannatrygging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lífeyri</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pension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(?&lt;![^\W_])lífeyri</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sjúkratrygging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health insurance</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(?&lt;![^\W_])sjúkratrygging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barnabætur</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child benefits</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(?&lt;![^\W_])barnabætur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meðlag</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child support</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(?&lt;![^\W_])meðlag</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barnavernd</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child protection</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(?&lt;![^\W_])barnavernd</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félagsráðgjaf</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social worker</w:t>
            </w:r>
          </w:p>
        </w:tc>
        <w:tc>
          <w:tcPr>
            <w:tcW w:type="dxa" w:w="32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6"/>
                <w:szCs w:val="16"/>
              </w:rPr>
              <w:t xml:space="preserve">(?&lt;![^\W_])félagsráðgjaf</w:t>
            </w:r>
          </w:p>
        </w:tc>
      </w:tr>
    </w:tbl>
    <w:p>
      <w:pPr>
        <w:spacing w:after="60" w:before="0" w:line="360"/>
        <w:jc w:val="left"/>
      </w:pPr>
      <w:r>
        <w:rPr>
          <w:rFonts w:ascii="Times New Roman" w:cs="Times New Roman" w:eastAsia="Times New Roman" w:hAnsi="Times New Roman"/>
          <w:b w:val="false"/>
          <w:bCs w:val="false"/>
          <w:i w:val="false"/>
          <w:iCs w:val="false"/>
          <w:sz w:val="24"/>
          <w:szCs w:val="24"/>
        </w:rPr>
        <w:t xml:space="preserve"/>
      </w:r>
    </w:p>
    <w:p>
      <w:r>
        <w:br w:type="page"/>
      </w:r>
    </w:p>
    <w:p>
      <w:pPr>
        <w:pStyle w:val="Heading1"/>
        <w:spacing w:after="120" w:before="240" w:line="360"/>
      </w:pPr>
      <w:r>
        <w:rPr>
          <w:rFonts w:ascii="Times New Roman" w:cs="Times New Roman" w:eastAsia="Times New Roman" w:hAnsi="Times New Roman"/>
          <w:b/>
          <w:bCs/>
          <w:sz w:val="28"/>
          <w:szCs w:val="28"/>
        </w:rPr>
        <w:t xml:space="preserve">S5. Visualization Parameters</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All figures in the article were generated using matplotlib 3.8+ with the following parameters. These settings ensure visual consistency and publication-quality output across all charts.</w:t>
      </w:r>
    </w:p>
    <w:p>
      <w:pPr>
        <w:pStyle w:val="Heading2"/>
        <w:spacing w:after="100" w:before="200" w:line="360"/>
      </w:pPr>
      <w:r>
        <w:rPr>
          <w:rFonts w:ascii="Times New Roman" w:cs="Times New Roman" w:eastAsia="Times New Roman" w:hAnsi="Times New Roman"/>
          <w:b/>
          <w:bCs/>
          <w:sz w:val="26"/>
          <w:szCs w:val="26"/>
        </w:rPr>
        <w:t xml:space="preserve">S5.1 General Chart Parameters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Figure size: 14 × 8 inches for standard line charts and bar charts; 16 × 10 inches for heatmaps and multi-panel figures.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Resolution: 300 DPI (publication quality), saved as both PNG and PDF.</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Font: DejaVu Sans (matplotlib default), 11pt for axis labels and tick labels, 13pt for chart titles.</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Rolling average: 5-year centred window using pandas.DataFrame.rolling(window=5, center=True, min_periods=1).</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Grid: Light grey (alpha=0.3), y-axis gridlines only.</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Legend: Positioned outside the plot area on the right side, ordered by final-year value (descending).</w:t>
      </w:r>
    </w:p>
    <w:p>
      <w:pPr>
        <w:spacing w:after="120" w:before="0" w:line="360"/>
        <w:ind w:left="720"/>
        <w:jc w:val="left"/>
      </w:pPr>
      <w:r>
        <w:rPr>
          <w:rFonts w:ascii="Times New Roman" w:cs="Times New Roman" w:eastAsia="Times New Roman" w:hAnsi="Times New Roman"/>
          <w:b w:val="false"/>
          <w:bCs w:val="false"/>
          <w:i w:val="false"/>
          <w:iCs w:val="false"/>
          <w:sz w:val="24"/>
          <w:szCs w:val="24"/>
        </w:rPr>
        <w:t xml:space="preserve">• Line width: 1.5pt for standard lines, 2.5pt for highlighted domains.</w:t>
      </w:r>
    </w:p>
    <w:p>
      <w:pPr>
        <w:pStyle w:val="Heading2"/>
        <w:spacing w:after="100" w:before="200" w:line="360"/>
      </w:pPr>
      <w:r>
        <w:rPr>
          <w:rFonts w:ascii="Times New Roman" w:cs="Times New Roman" w:eastAsia="Times New Roman" w:hAnsi="Times New Roman"/>
          <w:b/>
          <w:bCs/>
          <w:sz w:val="26"/>
          <w:szCs w:val="26"/>
        </w:rPr>
        <w:t xml:space="preserve">S5.2 Domain Color Scheme</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The following hex color codes are assigned to each domain and used consistently across all figures: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00"/>
        <w:gridCol w:w="4572"/>
      </w:tblGrid>
      <w:tr>
        <w:tc>
          <w:tcPr>
            <w:tcW w:type="dxa" w:w="4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Domain</w:t>
            </w:r>
          </w:p>
        </w:tc>
        <w:tc>
          <w:tcPr>
            <w:tcW w:type="dxa" w:w="45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Hex Color</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Immigration / movement</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#1f77b4</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Foreigners / alterity</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#ff7f0e</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Asylum / refuge</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#2ca02c</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Border / legal governance</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#d62728</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Security / policing</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#9467bd</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Integration / welfare</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#8c564b</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Housing / quartering</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#e377c2</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Morality / Ástandið</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#7f7f7f</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Poverty / poor law</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#bcbd22</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Labour discipline / emergency economy</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#17becf</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Racial terms / racialized language</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#ff0000</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Military / occupation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#00ff00</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Women / gender / sexuality</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#0000ff</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National identity / belonging</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#ff00ff</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Welfare state / social services</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ourier New" w:cs="Courier New" w:eastAsia="Courier New" w:hAnsi="Courier New"/>
                <w:sz w:val="18"/>
                <w:szCs w:val="18"/>
              </w:rPr>
              <w:t xml:space="preserve">#00ffff</w:t>
            </w:r>
          </w:p>
        </w:tc>
      </w:tr>
    </w:tbl>
    <w:p>
      <w:pPr>
        <w:spacing w:after="120" w:before="0" w:line="360"/>
        <w:jc w:val="left"/>
      </w:pPr>
      <w:r>
        <w:rPr>
          <w:rFonts w:ascii="Times New Roman" w:cs="Times New Roman" w:eastAsia="Times New Roman" w:hAnsi="Times New Roman"/>
          <w:b w:val="false"/>
          <w:bCs w:val="false"/>
          <w:i w:val="false"/>
          <w:iCs w:val="false"/>
          <w:sz w:val="24"/>
          <w:szCs w:val="24"/>
        </w:rPr>
        <w:t xml:space="preserve"/>
      </w:r>
    </w:p>
    <w:p>
      <w:pPr>
        <w:pStyle w:val="Heading1"/>
        <w:spacing w:after="120" w:before="240" w:line="360"/>
      </w:pPr>
      <w:r>
        <w:rPr>
          <w:rFonts w:ascii="Times New Roman" w:cs="Times New Roman" w:eastAsia="Times New Roman" w:hAnsi="Times New Roman"/>
          <w:b/>
          <w:bCs/>
          <w:sz w:val="28"/>
          <w:szCs w:val="28"/>
        </w:rPr>
        <w:t xml:space="preserve">S6. Validation Checks</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Table S1 provides the expected output values that should be verified after replication. Any discrepancy from these values indicates an error in data access, script configuration, or lexicon specification. The values are reported to the precision available from the analysis output.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00"/>
        <w:gridCol w:w="4572"/>
      </w:tblGrid>
      <w:tr>
        <w:tc>
          <w:tcPr>
            <w:tcW w:type="dxa" w:w="4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Metric</w:t>
            </w:r>
          </w:p>
        </w:tc>
        <w:tc>
          <w:tcPr>
            <w:tcW w:type="dxa" w:w="4572"/>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r>
              <w:rPr>
                <w:rFonts w:ascii="Times New Roman" w:cs="Times New Roman" w:eastAsia="Times New Roman" w:hAnsi="Times New Roman"/>
                <w:b/>
                <w:bCs/>
                <w:sz w:val="20"/>
                <w:szCs w:val="20"/>
              </w:rPr>
              <w:t xml:space="preserve">Expected Value</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Total Parla documents</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19,502</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Years covered</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1909–2023 (114 unique years)</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JSON parse errors</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0</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Largest domain (by document count)</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Morality / Ástandið = 10,646</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Second largest domain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Poverty / poor law = 9,196</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Third largest domain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Labour discipline = 8,593</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Fourth largest domain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Housing / quartering = 8,276</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Fifth largest domain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Security / policing = 6,979</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Smallest domain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Asylum / refuge = 839</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Security × Immigration Pearson r (4-domain)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0.921</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Security × Racial r (peak decade, 2000s)</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0.84</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Co-occurrence: racial → security</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77.3%</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Co-occurrence: security → racial</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19.7%</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Normalised co-occurrence (security–racial)</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0.39</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Total concordance lines</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6,018</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Wartime peak: morality domain</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1943 (148 documents)</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Peak asylum year</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2022 (89 documents)</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Peak racial terms year</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2022 (50 documents)</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News 2022 corpus size (anomalous)</w:t>
            </w:r>
          </w:p>
        </w:tc>
        <w:tc>
          <w:tcPr>
            <w:tcW w:type="dxa" w:w="45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Times New Roman" w:cs="Times New Roman" w:eastAsia="Times New Roman" w:hAnsi="Times New Roman"/>
                <w:sz w:val="18"/>
                <w:szCs w:val="18"/>
              </w:rPr>
              <w:t xml:space="preserve">1,372,061 documents</w:t>
            </w:r>
          </w:p>
        </w:tc>
      </w:tr>
    </w:tbl>
    <w:p>
      <w:pPr>
        <w:spacing w:after="80" w:before="0" w:line="360"/>
        <w:jc w:val="left"/>
      </w:pPr>
      <w:r>
        <w:rPr>
          <w:rFonts w:ascii="Times New Roman" w:cs="Times New Roman" w:eastAsia="Times New Roman" w:hAnsi="Times New Roman"/>
          <w:b w:val="false"/>
          <w:bCs w:val="false"/>
          <w:i w:val="false"/>
          <w:iCs w:val="false"/>
          <w:sz w:val="24"/>
          <w:szCs w:val="24"/>
        </w:rPr>
        <w:t xml:space="preserve"/>
      </w:r>
    </w:p>
    <w:p>
      <w:pPr>
        <w:spacing w:after="120" w:before="0" w:line="360"/>
        <w:jc w:val="left"/>
      </w:pPr>
      <w:r>
        <w:rPr>
          <w:rFonts w:ascii="Times New Roman" w:cs="Times New Roman" w:eastAsia="Times New Roman" w:hAnsi="Times New Roman"/>
          <w:b w:val="false"/>
          <w:bCs w:val="false"/>
          <w:i w:val="false"/>
          <w:iCs w:val="false"/>
          <w:sz w:val="24"/>
          <w:szCs w:val="24"/>
        </w:rPr>
        <w:t xml:space="preserve">Additional cross-checks: The 15×15 co-occurrence matrix should be symmetric, with diagonal values equal to the domain totals. The sum of all domain document counts will exceed the total number of documents because documents can be classified into multiple domains simultaneously. The yearly summary rates per 1,000 should decrease in years with high total parliamentary output and increase in years with low total output, reflecting the normalisation denominator.</w:t>
      </w:r>
    </w:p>
    <w:p>
      <w:pPr>
        <w:pStyle w:val="Heading1"/>
        <w:spacing w:after="120" w:before="240" w:line="360"/>
      </w:pPr>
      <w:r>
        <w:rPr>
          <w:rFonts w:ascii="Times New Roman" w:cs="Times New Roman" w:eastAsia="Times New Roman" w:hAnsi="Times New Roman"/>
          <w:b/>
          <w:bCs/>
          <w:sz w:val="28"/>
          <w:szCs w:val="28"/>
        </w:rPr>
        <w:t xml:space="preserve">S7. Known Limitations and Caveats</w:t>
      </w:r>
    </w:p>
    <w:p>
      <w:pPr>
        <w:spacing w:after="120" w:before="0" w:line="360"/>
        <w:jc w:val="left"/>
      </w:pPr>
      <w:r>
        <w:rPr>
          <w:rFonts w:ascii="Times New Roman" w:cs="Times New Roman" w:eastAsia="Times New Roman" w:hAnsi="Times New Roman"/>
          <w:b w:val="false"/>
          <w:bCs w:val="false"/>
          <w:i w:val="false"/>
          <w:iCs w:val="false"/>
          <w:sz w:val="24"/>
          <w:szCs w:val="24"/>
        </w:rPr>
        <w:t xml:space="preserve">The following methodological limitations should be considered when interpreting the replicated results and when adapting the approach for other corpora or languages.</w:t>
      </w:r>
    </w:p>
    <w:p>
      <w:pPr>
        <w:spacing w:after="120" w:before="0" w:line="360"/>
        <w:jc w:val="left"/>
      </w:pPr>
      <w:r>
        <w:rPr>
          <w:rFonts w:ascii="Times New Roman" w:cs="Times New Roman" w:eastAsia="Times New Roman" w:hAnsi="Times New Roman"/>
          <w:b/>
          <w:bCs/>
          <w:i w:val="false"/>
          <w:iCs w:val="false"/>
          <w:sz w:val="24"/>
          <w:szCs w:val="24"/>
        </w:rPr>
        <w:t xml:space="preserve">Word boundary handling. </w:t>
      </w:r>
      <w:r>
        <w:rPr>
          <w:rFonts w:ascii="Times New Roman" w:cs="Times New Roman" w:eastAsia="Times New Roman" w:hAnsi="Times New Roman"/>
          <w:b w:val="false"/>
          <w:bCs w:val="false"/>
          <w:i w:val="false"/>
          <w:iCs w:val="false"/>
          <w:sz w:val="24"/>
          <w:szCs w:val="24"/>
        </w:rPr>
        <w:t xml:space="preserve">The standard Python \b word boundary is unreliable for Icelandic text because it does not correctly handle characters such as ð (eth), þ (thorn), æ (ae-ligature), and ö (o-umlaut). These characters are treated as non-word characters by Python’s default regex engine, causing \b to fire incorrectly at positions within Icelandic words. The analysis uses the lookbehind (?&lt;![^\W_]) as a Unicode-safe left-word-boundary, which asserts that the preceding character is either whitespace, punctuation, or the start of the string. This approach is tested and reliable for the IGC corpus but differs from standard practice in English-language corpus work and may require adjustment for other Unicode-rich languages.</w:t>
      </w:r>
    </w:p>
    <w:p>
      <w:pPr>
        <w:spacing w:after="120" w:before="0" w:line="360"/>
        <w:jc w:val="left"/>
      </w:pPr>
      <w:r>
        <w:rPr>
          <w:rFonts w:ascii="Times New Roman" w:cs="Times New Roman" w:eastAsia="Times New Roman" w:hAnsi="Times New Roman"/>
          <w:b/>
          <w:bCs/>
          <w:i w:val="false"/>
          <w:iCs w:val="false"/>
          <w:sz w:val="24"/>
          <w:szCs w:val="24"/>
        </w:rPr>
        <w:t xml:space="preserve">Multi-word substring matching. </w:t>
      </w:r>
      <w:r>
        <w:rPr>
          <w:rFonts w:ascii="Times New Roman" w:cs="Times New Roman" w:eastAsia="Times New Roman" w:hAnsi="Times New Roman"/>
          <w:b w:val="false"/>
          <w:bCs w:val="false"/>
          <w:i w:val="false"/>
          <w:iCs w:val="false"/>
          <w:sz w:val="24"/>
          <w:szCs w:val="24"/>
        </w:rPr>
        <w:t xml:space="preserve">Multi-word stems (those containing spaces, such as “búseta erlend” or “alþjóðleg vernd”) are matched using case-folded substring search rather than regex. This approach may produce false positives in rare cases where the multi-word string appears as part of a larger compound expression or crosses a sentence boundary. In practice, such false positives are negligible given the specificity and length of the Icelandic multi-word stems used in this study.</w:t>
      </w:r>
    </w:p>
    <w:p>
      <w:pPr>
        <w:spacing w:after="120" w:before="0" w:line="360"/>
        <w:jc w:val="left"/>
      </w:pPr>
      <w:r>
        <w:rPr>
          <w:rFonts w:ascii="Times New Roman" w:cs="Times New Roman" w:eastAsia="Times New Roman" w:hAnsi="Times New Roman"/>
          <w:b/>
          <w:bCs/>
          <w:i w:val="false"/>
          <w:iCs w:val="false"/>
          <w:sz w:val="24"/>
          <w:szCs w:val="24"/>
        </w:rPr>
        <w:t xml:space="preserve">Stem matching versus lemmatisation. </w:t>
      </w:r>
      <w:r>
        <w:rPr>
          <w:rFonts w:ascii="Times New Roman" w:cs="Times New Roman" w:eastAsia="Times New Roman" w:hAnsi="Times New Roman"/>
          <w:b w:val="false"/>
          <w:bCs w:val="false"/>
          <w:i w:val="false"/>
          <w:iCs w:val="false"/>
          <w:sz w:val="24"/>
          <w:szCs w:val="24"/>
        </w:rPr>
        <w:t xml:space="preserve">The stem-matching approach captures morphological variants (declensions, conjugations) through prefix matching but does not employ lemmatisation or part-of-speech tagging. This means that homographic stems (stems shared between unrelated words) may produce false positives. For example, a stem that matches both a migration-related word and an unrelated word with the same prefix would classify the document into the migration domain incorrectly. The lexicon was iteratively refined through concordance analysis to minimise such errors, and the KWIC concordance output enables manual verification of match quality.</w:t>
      </w:r>
    </w:p>
    <w:p>
      <w:pPr>
        <w:spacing w:after="120" w:before="0" w:line="360"/>
        <w:jc w:val="left"/>
      </w:pPr>
      <w:r>
        <w:rPr>
          <w:rFonts w:ascii="Times New Roman" w:cs="Times New Roman" w:eastAsia="Times New Roman" w:hAnsi="Times New Roman"/>
          <w:b/>
          <w:bCs/>
          <w:i w:val="false"/>
          <w:iCs w:val="false"/>
          <w:sz w:val="24"/>
          <w:szCs w:val="24"/>
        </w:rPr>
        <w:t xml:space="preserve">Binary domain classification. </w:t>
      </w:r>
      <w:r>
        <w:rPr>
          <w:rFonts w:ascii="Times New Roman" w:cs="Times New Roman" w:eastAsia="Times New Roman" w:hAnsi="Times New Roman"/>
          <w:b w:val="false"/>
          <w:bCs w:val="false"/>
          <w:i w:val="false"/>
          <w:iCs w:val="false"/>
          <w:sz w:val="24"/>
          <w:szCs w:val="24"/>
        </w:rPr>
        <w:t xml:space="preserve">Domain classification is binary (present/absent): a document is classified into a domain if it contains at least one stem from that domain, regardless of how many stems or how frequently they appear. This means that a brief mention is weighted equally with extended discussion. The approach prioritises recall (capturing all documents that touch on a domain) over precision (capturing only documents centrally about that domain). Frequency-weighted approaches could provide additional nuance but were not employed in this study.</w:t>
      </w:r>
    </w:p>
    <w:p>
      <w:pPr>
        <w:spacing w:after="120" w:before="0" w:line="360"/>
        <w:jc w:val="left"/>
      </w:pPr>
      <w:r>
        <w:rPr>
          <w:rFonts w:ascii="Times New Roman" w:cs="Times New Roman" w:eastAsia="Times New Roman" w:hAnsi="Times New Roman"/>
          <w:b/>
          <w:bCs/>
          <w:i w:val="false"/>
          <w:iCs w:val="false"/>
          <w:sz w:val="24"/>
          <w:szCs w:val="24"/>
        </w:rPr>
        <w:t xml:space="preserve">News corpus anomaly. </w:t>
      </w:r>
      <w:r>
        <w:rPr>
          <w:rFonts w:ascii="Times New Roman" w:cs="Times New Roman" w:eastAsia="Times New Roman" w:hAnsi="Times New Roman"/>
          <w:b w:val="false"/>
          <w:bCs w:val="false"/>
          <w:i w:val="false"/>
          <w:iCs w:val="false"/>
          <w:sz w:val="24"/>
          <w:szCs w:val="24"/>
        </w:rPr>
        <w:t xml:space="preserve">The 2022 news corpus size (1,372,061 documents) is anomalous, approximately 5.7 times larger than the next-largest year (2019, with 239,119 documents). This likely reflects a change in how content was harvested, deduplicated, or formatted for the IGC. Percentage-based normalisation for 2022 should be interpreted with extreme caution, as the inflated denominator produces artificially low percentages. The anomaly does not affect absolute document counts but does affect any year-on-year trend analysis that includes 2022.</w:t>
      </w:r>
    </w:p>
    <w:p>
      <w:pPr>
        <w:spacing w:after="120" w:before="0" w:line="360"/>
        <w:jc w:val="left"/>
      </w:pPr>
      <w:r>
        <w:rPr>
          <w:rFonts w:ascii="Times New Roman" w:cs="Times New Roman" w:eastAsia="Times New Roman" w:hAnsi="Times New Roman"/>
          <w:b/>
          <w:bCs/>
          <w:i w:val="false"/>
          <w:iCs w:val="false"/>
          <w:sz w:val="24"/>
          <w:szCs w:val="24"/>
        </w:rPr>
        <w:t xml:space="preserve">Court/adjudication data. </w:t>
      </w:r>
      <w:r>
        <w:rPr>
          <w:rFonts w:ascii="Times New Roman" w:cs="Times New Roman" w:eastAsia="Times New Roman" w:hAnsi="Times New Roman"/>
          <w:b w:val="false"/>
          <w:bCs w:val="false"/>
          <w:i w:val="false"/>
          <w:iCs w:val="false"/>
          <w:sz w:val="24"/>
          <w:szCs w:val="24"/>
        </w:rPr>
        <w:t xml:space="preserve">The IGC-Adjud subcorpus (court adjudications from the Supreme Court and District Courts) was not systematically analysed in this study. While the subcorpus is part of the IGC architecture and is referenced in the methodological framework, the volume of immigration-related content in court decisions was insufficient for the quantitative domain-classification approach used here. Future work may incorporate this subcorpus using qualitative or mixed-methods approaches.</w:t>
      </w:r>
    </w:p>
    <w:p>
      <w:pPr>
        <w:spacing w:after="120" w:before="0" w:line="360"/>
        <w:jc w:val="left"/>
      </w:pPr>
      <w:r>
        <w:rPr>
          <w:rFonts w:ascii="Times New Roman" w:cs="Times New Roman" w:eastAsia="Times New Roman" w:hAnsi="Times New Roman"/>
          <w:b/>
          <w:bCs/>
          <w:i w:val="false"/>
          <w:iCs w:val="false"/>
          <w:sz w:val="24"/>
          <w:szCs w:val="24"/>
        </w:rPr>
        <w:t xml:space="preserve">Sentiment and stance neutrality. </w:t>
      </w:r>
      <w:r>
        <w:rPr>
          <w:rFonts w:ascii="Times New Roman" w:cs="Times New Roman" w:eastAsia="Times New Roman" w:hAnsi="Times New Roman"/>
          <w:b w:val="false"/>
          <w:bCs w:val="false"/>
          <w:i w:val="false"/>
          <w:iCs w:val="false"/>
          <w:sz w:val="24"/>
          <w:szCs w:val="24"/>
        </w:rPr>
        <w:t xml:space="preserve">The stem-matching approach is stance-neutral: it cannot distinguish between supportive and critical uses of domain vocabulary. A speech criticising securitisation is classified identically to one advocating for increased security measures. Similarly, a speech quoting racist language in order to condemn it is classified into the racial terms domain alongside speeches that deploy such language uncritically. This is a standard limitation of keyword-based corpus analysis and is partially addressed through the concordance analysis provided in the supplementary KWIC output.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Supplementary Material: Replication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2026-04-03T07:49:55.181Z</dcterms:created>
  <dcterms:modified xsi:type="dcterms:W3CDTF">2026-04-03T07:49:55.181Z</dcterms:modified>
</cp:coreProperties>
</file>

<file path=docProps/custom.xml><?xml version="1.0" encoding="utf-8"?>
<Properties xmlns="http://schemas.openxmlformats.org/officeDocument/2006/custom-properties" xmlns:vt="http://schemas.openxmlformats.org/officeDocument/2006/docPropsVTypes"/>
</file>