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The Bangladesh Demographic and Health Survey (BDHS) has been</w:t>
      </w:r>
      <w:r>
        <w:t xml:space="preserve"> </w:t>
      </w:r>
      <w:r>
        <w:t xml:space="preserve">conducted nine times since 1993 and is the main source of population and</w:t>
      </w:r>
      <w:r>
        <w:t xml:space="preserve"> </w:t>
      </w:r>
      <w:r>
        <w:t xml:space="preserve">health statistics for the country. Secondary analyses of the respondent-level</w:t>
      </w:r>
      <w:r>
        <w:t xml:space="preserve"> </w:t>
      </w:r>
      <w:r>
        <w:t xml:space="preserve">files are common, but their estimates are rarely checked against the</w:t>
      </w:r>
      <w:r>
        <w:t xml:space="preserve"> </w:t>
      </w:r>
      <w:r>
        <w:t xml:space="preserve">officially published values, and several features of the survey design are</w:t>
      </w:r>
      <w:r>
        <w:t xml:space="preserve"> </w:t>
      </w:r>
      <w:r>
        <w:t xml:space="preserve">easy to mishandle. We assessed how closely the official estimates can be</w:t>
      </w:r>
      <w:r>
        <w:t xml:space="preserve"> </w:t>
      </w:r>
      <w:r>
        <w:t xml:space="preserve">reproduced from the recode files, how much common analytic errors change the</w:t>
      </w:r>
      <w:r>
        <w:t xml:space="preserve"> </w:t>
      </w:r>
      <w:r>
        <w:t xml:space="preserve">results, how data quality has changed across rounds, and whether synthetic</w:t>
      </w:r>
      <w:r>
        <w:t xml:space="preserve"> </w:t>
      </w:r>
      <w:r>
        <w:t xml:space="preserve">data calibrated to the published estimates can reproduce them.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bdhs, an open-source R package covering every BDHS</w:t>
      </w:r>
      <w:r>
        <w:t xml:space="preserve"> </w:t>
      </w:r>
      <w:r>
        <w:t xml:space="preserve">round from 1993-94 to 2022. It bundles all official estimates published</w:t>
      </w:r>
      <w:r>
        <w:t xml:space="preserve"> </w:t>
      </w:r>
      <w:r>
        <w:t xml:space="preserve">through the DHS Program and provides tools for the licensed microdata: file</w:t>
      </w:r>
      <w:r>
        <w:t xml:space="preserve"> </w:t>
      </w:r>
      <w:r>
        <w:t xml:space="preserve">identification, cross-round harmonisation, complex survey designs, 97</w:t>
      </w:r>
      <w:r>
        <w:t xml:space="preserve"> </w:t>
      </w:r>
      <w:r>
        <w:t xml:space="preserve">indicator definitions, fertility and mortality rates, data-quality</w:t>
      </w:r>
      <w:r>
        <w:t xml:space="preserve"> </w:t>
      </w:r>
      <w:r>
        <w:t xml:space="preserve">diagnostics, and inequality, trend and decomposition analysis. Using the</w:t>
      </w:r>
      <w:r>
        <w:t xml:space="preserve"> </w:t>
      </w:r>
      <w:r>
        <w:t xml:space="preserve">original recode files, we recomputed every indicator with a published</w:t>
      </w:r>
      <w:r>
        <w:t xml:space="preserve"> </w:t>
      </w:r>
      <w:r>
        <w:t xml:space="preserve">national value and counted an estimate as matching if it was within 0.5</w:t>
      </w:r>
      <w:r>
        <w:t xml:space="preserve"> </w:t>
      </w:r>
      <w:r>
        <w:t xml:space="preserve">percentage points of the official value, allowing for rounding. We then</w:t>
      </w:r>
      <w:r>
        <w:t xml:space="preserve"> </w:t>
      </w:r>
      <w:r>
        <w:t xml:space="preserve">quantified the effect of common analytic errors, estimated design effects and</w:t>
      </w:r>
      <w:r>
        <w:t xml:space="preserve"> </w:t>
      </w:r>
      <w:r>
        <w:t xml:space="preserve">assessed data quality across rounds. We also developed a method for</w:t>
      </w:r>
      <w:r>
        <w:t xml:space="preserve"> </w:t>
      </w:r>
      <w:r>
        <w:t xml:space="preserve">generating synthetic BDHS data calibrated to the official estimates and</w:t>
      </w:r>
      <w:r>
        <w:t xml:space="preserve"> </w:t>
      </w:r>
      <w:r>
        <w:t xml:space="preserve">illustrated the analytic tools with the rise of caesarean delivery between</w:t>
      </w:r>
      <w:r>
        <w:t xml:space="preserve"> </w:t>
      </w:r>
      <w:r>
        <w:t xml:space="preserve">2004 and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 computed across eight rounds, 353</w:t>
      </w:r>
      <w:r>
        <w:t xml:space="preserve"> </w:t>
      </w:r>
      <w:r>
        <w:t xml:space="preserve">matched the official value (median absolute difference 0.03 percentage</w:t>
      </w:r>
      <w:r>
        <w:t xml:space="preserve"> </w:t>
      </w:r>
      <w:r>
        <w:t xml:space="preserve">points). Counting women who received the short 2022 questionnaire as having</w:t>
      </w:r>
      <w:r>
        <w:t xml:space="preserve"> </w:t>
      </w:r>
      <w:r>
        <w:t xml:space="preserve">no unmet need for family planning lowered the estimate from 10.0% to 6.7%,</w:t>
      </w:r>
      <w:r>
        <w:t xml:space="preserve"> </w:t>
      </w:r>
      <w:r>
        <w:t xml:space="preserve">and treating the ever-married sample as all women inflated child marriage by</w:t>
      </w:r>
      <w:r>
        <w:t xml:space="preserve"> </w:t>
      </w:r>
      <w:r>
        <w:t xml:space="preserve">about ten percentage points. Design effects of 1.6 to 3.1 meant that ignoring</w:t>
      </w:r>
      <w:r>
        <w:t xml:space="preserve"> </w:t>
      </w:r>
      <w:r>
        <w:t xml:space="preserve">the sample design made standard errors up to 1.8 times too small. Data</w:t>
      </w:r>
      <w:r>
        <w:t xml:space="preserve"> </w:t>
      </w:r>
      <w:r>
        <w:t xml:space="preserve">quality improved over time, although height-for-age z-scores remained more</w:t>
      </w:r>
      <w:r>
        <w:t xml:space="preserve"> </w:t>
      </w:r>
      <w:r>
        <w:t xml:space="preserve">dispersed than expected and ages at death were heaped at 12 months. Caesarean</w:t>
      </w:r>
      <w:r>
        <w:t xml:space="preserve"> </w:t>
      </w:r>
      <w:r>
        <w:t xml:space="preserve">delivery rose from 4.5% in 2004 to 44.0% in 2022; about 80% of this increase</w:t>
      </w:r>
      <w:r>
        <w:t xml:space="preserve"> </w:t>
      </w:r>
      <w:r>
        <w:t xml:space="preserve">occurred within education groups rather than through changes in mothers’</w:t>
      </w:r>
      <w:r>
        <w:t xml:space="preserve"> </w:t>
      </w:r>
      <w:r>
        <w:t xml:space="preserve">education. Synthetic data reproduced 1,278 official national and subnational</w:t>
      </w:r>
      <w:r>
        <w:t xml:space="preserve"> </w:t>
      </w:r>
      <w:r>
        <w:t xml:space="preserve">values with a maximum deviation of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from the recode files, but only when the ever-married sample, questionnaire</w:t>
      </w:r>
      <w:r>
        <w:t xml:space="preserve"> </w:t>
      </w:r>
      <w:r>
        <w:t xml:space="preserve">changes such as the 2022 short questionnaire, and the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 Calibrated synthetic data allows methods to be taught and analysis</w:t>
      </w:r>
      <w:r>
        <w:t xml:space="preserve"> </w:t>
      </w:r>
      <w:r>
        <w:t xml:space="preserve">code to be shared without the restricted files, although they do not</w:t>
      </w:r>
      <w:r>
        <w:t xml:space="preserve"> </w:t>
      </w:r>
      <w:r>
        <w:t xml:space="preserve">preserve associations between variables.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background"/>
      <w:r>
        <w:t xml:space="preserve">Background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mothers. Separating these components with proper standard errors is</w:t>
      </w:r>
      <w:r>
        <w:t xml:space="preserve"> </w:t>
      </w:r>
      <w:r>
        <w:t xml:space="preserve">straightforward once the design and indicator definitions are 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e1353f398eec98604d2a131b1900f3298b196be"/>
      <w:r>
        <w:t xml:space="preserve">List of abbreviations</w:t>
      </w:r>
      <w:bookmarkEnd w:id="29"/>
    </w:p>
    <w:p>
      <w:pPr>
        <w:pStyle w:val="FirstParagraph"/>
      </w:pPr>
      <w:r>
        <w:t xml:space="preserve">AARC: average annual rate of change; BDHS: Bangladesh Demographic and Health</w:t>
      </w:r>
      <w:r>
        <w:t xml:space="preserve"> </w:t>
      </w:r>
      <w:r>
        <w:t xml:space="preserve">Survey; CI: confidence interval; DHS: Demographic and Health Surveys; GFR:</w:t>
      </w:r>
      <w:r>
        <w:t xml:space="preserve"> </w:t>
      </w:r>
      <w:r>
        <w:t xml:space="preserve">general fertility rate; KR, IR, PR, BR, HR: children’s, individual (women’s),</w:t>
      </w:r>
      <w:r>
        <w:t xml:space="preserve"> </w:t>
      </w:r>
      <w:r>
        <w:t xml:space="preserve">household-member, births and household recode files; NIPORT: National</w:t>
      </w:r>
      <w:r>
        <w:t xml:space="preserve"> </w:t>
      </w:r>
      <w:r>
        <w:t xml:space="preserve">Institute of Population Research and Training; RII: relative index of</w:t>
      </w:r>
      <w:r>
        <w:t xml:space="preserve"> </w:t>
      </w:r>
      <w:r>
        <w:t xml:space="preserve">inequality; SD: standard deviation; SDG: Sustainable Development Goal; SE:</w:t>
      </w:r>
      <w:r>
        <w:t xml:space="preserve"> </w:t>
      </w:r>
      <w:r>
        <w:t xml:space="preserve">standard error; SII: slope index of inequality.</w:t>
      </w:r>
    </w:p>
    <w:p>
      <w:pPr>
        <w:pStyle w:val="Heading1"/>
      </w:pPr>
      <w:bookmarkStart w:id="30" w:name="_declarations"/>
      <w:r>
        <w:t xml:space="preserve">Declarations</w:t>
      </w:r>
      <w:bookmarkEnd w:id="30"/>
    </w:p>
    <w:p>
      <w:pPr>
        <w:pStyle w:val="Heading2"/>
      </w:pPr>
      <w:bookmarkStart w:id="31" w:name="_d182db0490b2de20bd2b4e4cc8698599182035f"/>
      <w:r>
        <w:t xml:space="preserve">Ethics approval and consent to participate</w:t>
      </w:r>
      <w:bookmarkEnd w:id="31"/>
    </w:p>
    <w:p>
      <w:pPr>
        <w:pStyle w:val="FirstParagraph"/>
      </w:pPr>
      <w:r>
        <w:t xml:space="preserve">This study is a secondary analysis of de-identified data from the Bangladesh</w:t>
      </w:r>
      <w:r>
        <w:t xml:space="preserve"> </w:t>
      </w:r>
      <w:r>
        <w:t xml:space="preserve">Demographic and Health Surveys. The survey protocols were approved by the</w:t>
      </w:r>
      <w:r>
        <w:t xml:space="preserve"> </w:t>
      </w:r>
      <w:r>
        <w:t xml:space="preserve">ICF Institutional Review Board and by the Bangladesh Medical Research</w:t>
      </w:r>
      <w:r>
        <w:t xml:space="preserve"> </w:t>
      </w:r>
      <w:r>
        <w:t xml:space="preserve">Council, and all respondents gave informed consent. Access to the data was</w:t>
      </w:r>
      <w:r>
        <w:t xml:space="preserve"> </w:t>
      </w:r>
      <w:r>
        <w:t xml:space="preserve">granted by The DHS Program. No further ethical approval was required.</w:t>
      </w:r>
    </w:p>
    <w:p>
      <w:pPr>
        <w:pStyle w:val="Heading2"/>
      </w:pPr>
      <w:bookmarkStart w:id="32" w:name="_84344d093a8825a4b6ef5ff428e967a69e0670e"/>
      <w:r>
        <w:t xml:space="preserve">Consent for publication</w:t>
      </w:r>
      <w:bookmarkEnd w:id="32"/>
    </w:p>
    <w:p>
      <w:pPr>
        <w:pStyle w:val="FirstParagraph"/>
      </w:pPr>
      <w:r>
        <w:t xml:space="preserve">Not applicable.</w:t>
      </w:r>
    </w:p>
    <w:p>
      <w:pPr>
        <w:pStyle w:val="Heading2"/>
      </w:pPr>
      <w:bookmarkStart w:id="33" w:name="_9a573444a22e2be6eba2934793359c7df890c01"/>
      <w:r>
        <w:t xml:space="preserve">Availability of data and materials</w:t>
      </w:r>
      <w:bookmarkEnd w:id="33"/>
    </w:p>
    <w:p>
      <w:pPr>
        <w:pStyle w:val="FirstParagraph"/>
      </w:pPr>
      <w:r>
        <w:t xml:space="preserve">The bdhs package is freely available at</w:t>
      </w:r>
      <w:r>
        <w:t xml:space="preserve"> </w:t>
      </w:r>
      <w:hyperlink r:id="rId34">
        <w:r>
          <w:rPr>
            <w:rStyle w:val="Hyperlink"/>
          </w:rPr>
          <w:t xml:space="preserve">https://github.com/armanhossen-am/bdhs</w:t>
        </w:r>
      </w:hyperlink>
      <w:r>
        <w:t xml:space="preserve"> </w:t>
      </w:r>
      <w:r>
        <w:t xml:space="preserve">under the MIT licence, with</w:t>
      </w:r>
      <w:r>
        <w:t xml:space="preserve"> </w:t>
      </w:r>
      <w:r>
        <w:t xml:space="preserve">documentation at</w:t>
      </w:r>
      <w:r>
        <w:t xml:space="preserve"> </w:t>
      </w:r>
      <w:hyperlink r:id="rId35">
        <w:r>
          <w:rPr>
            <w:rStyle w:val="Hyperlink"/>
          </w:rPr>
          <w:t xml:space="preserve">https://armanhossen-am.github.io/bdhs/</w:t>
        </w:r>
      </w:hyperlink>
      <w:r>
        <w:t xml:space="preserve">. The analysis</w:t>
      </w:r>
      <w:r>
        <w:t xml:space="preserve"> </w:t>
      </w:r>
      <w:r>
        <w:t xml:space="preserve">scripts and all aggregate results reported here are in the repository’s</w:t>
      </w:r>
      <w:r>
        <w:t xml:space="preserve"> </w:t>
      </w:r>
      <w:r>
        <w:t xml:space="preserve">paper folder. The BDHS microdata is available from The DHS Program to</w:t>
      </w:r>
      <w:r>
        <w:t xml:space="preserve"> </w:t>
      </w:r>
      <w:r>
        <w:t xml:space="preserve">registered users (</w:t>
      </w:r>
      <w:hyperlink r:id="rId36">
        <w:r>
          <w:rPr>
            <w:rStyle w:val="Hyperlink"/>
          </w:rPr>
          <w:t xml:space="preserve">https://dhsprogram.com</w:t>
        </w:r>
      </w:hyperlink>
      <w:r>
        <w:t xml:space="preserve">); the authors are not permitted to</w:t>
      </w:r>
      <w:r>
        <w:t xml:space="preserve"> </w:t>
      </w:r>
      <w:r>
        <w:t xml:space="preserve">share them.</w:t>
      </w:r>
    </w:p>
    <w:p>
      <w:pPr>
        <w:pStyle w:val="Heading2"/>
      </w:pPr>
      <w:bookmarkStart w:id="37" w:name="_8cee396d015a9d413c62f6622c8a35236e1bb10"/>
      <w:r>
        <w:t xml:space="preserve">Competing interests</w:t>
      </w:r>
      <w:bookmarkEnd w:id="37"/>
    </w:p>
    <w:p>
      <w:pPr>
        <w:pStyle w:val="FirstParagraph"/>
      </w:pPr>
      <w:r>
        <w:t xml:space="preserve">The authors declare no competing interests.</w:t>
      </w:r>
    </w:p>
    <w:p>
      <w:pPr>
        <w:pStyle w:val="Heading2"/>
      </w:pPr>
      <w:bookmarkStart w:id="38" w:name="_funding"/>
      <w:r>
        <w:t xml:space="preserve">Funding</w:t>
      </w:r>
      <w:bookmarkEnd w:id="38"/>
    </w:p>
    <w:p>
      <w:pPr>
        <w:pStyle w:val="FirstParagraph"/>
      </w:pPr>
      <w:r>
        <w:t xml:space="preserve">This research received no specific funding.</w:t>
      </w:r>
    </w:p>
    <w:p>
      <w:pPr>
        <w:pStyle w:val="Heading2"/>
      </w:pPr>
      <w:bookmarkStart w:id="39" w:name="_b8356044e1855f49faa1ecb5e0ecc373fd3b25d"/>
      <w:r>
        <w:t xml:space="preserve">Authors’ contributions</w:t>
      </w:r>
      <w:bookmarkEnd w:id="39"/>
    </w:p>
    <w:p>
      <w:pPr>
        <w:pStyle w:val="FirstParagraph"/>
      </w:pPr>
      <w:r>
        <w:t xml:space="preserve">AH conceived the study, developed the software and carried out the analyses.</w:t>
      </w:r>
      <w:r>
        <w:t xml:space="preserve"> </w:t>
      </w:r>
      <w:r>
        <w:t xml:space="preserve">AH and KSAN wrote the manuscript. ARR, ASA and KSAN contributed to the</w:t>
      </w:r>
      <w:r>
        <w:t xml:space="preserve"> </w:t>
      </w:r>
      <w:r>
        <w:t xml:space="preserve">interpretation of the results and critically revised the manuscript. All</w:t>
      </w:r>
      <w:r>
        <w:t xml:space="preserve"> </w:t>
      </w:r>
      <w:r>
        <w:t xml:space="preserve">authors read and approved the final manuscript.</w:t>
      </w:r>
    </w:p>
    <w:p>
      <w:pPr>
        <w:pStyle w:val="Heading2"/>
      </w:pPr>
      <w:bookmarkStart w:id="40" w:name="_acknowledgements"/>
      <w:r>
        <w:t xml:space="preserve">Acknowledgements</w:t>
      </w:r>
      <w:bookmarkEnd w:id="40"/>
    </w:p>
    <w:p>
      <w:pPr>
        <w:pStyle w:val="FirstParagraph"/>
      </w:pPr>
      <w:r>
        <w:t xml:space="preserve">The authors thank NIPORT, ICF and The DHS Program for conducting the surveys</w:t>
      </w:r>
      <w:r>
        <w:t xml:space="preserve"> </w:t>
      </w:r>
      <w:r>
        <w:t xml:space="preserve">and making the data available. An AI assistant (Claude, Anthropic) was used to</w:t>
      </w:r>
      <w:r>
        <w:t xml:space="preserve"> </w:t>
      </w:r>
      <w:r>
        <w:t xml:space="preserve">help write and test software code and to draft parts of the manuscript. The</w:t>
      </w:r>
      <w:r>
        <w:t xml:space="preserve"> </w:t>
      </w:r>
      <w:r>
        <w:t xml:space="preserve">authors reviewed and verified all code, analyses and text and take full</w:t>
      </w:r>
      <w:r>
        <w:t xml:space="preserve"> </w:t>
      </w:r>
      <w:r>
        <w:t xml:space="preserve">responsibility for the content of the article.</w:t>
      </w:r>
    </w:p>
    <w:p>
      <w:pPr>
        <w:pStyle w:val="Heading1"/>
      </w:pPr>
      <w:bookmarkStart w:id="41" w:name="_75cb7b9576aaaaf1ce145bf5cbbb5cf2ece5db8"/>
      <w:r>
        <w:t xml:space="preserve">Figure legends</w:t>
      </w:r>
      <w:bookmarkEnd w:id="41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42" w:name="_5e64ea862fbbcc7a83a9336c2ef220848545eed"/>
      <w:r>
        <w:t xml:space="preserve">Additional files</w:t>
      </w:r>
      <w:bookmarkEnd w:id="42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43" w:name="_references"/>
      <w:r>
        <w:t xml:space="preserve">References</w:t>
      </w:r>
      <w:bookmarkEnd w:id="43"/>
    </w:p>
    <w:bookmarkStart w:id="69" w:name="_refs"/>
    <w:bookmarkStart w:id="44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44"/>
    <w:bookmarkStart w:id="45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45"/>
    <w:bookmarkStart w:id="47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46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47"/>
    <w:bookmarkStart w:id="49" w:name="_75ee5ce74952eff133d00df40ad555b3f511c0a"/>
    <w:p>
      <w:pPr>
        <w:pStyle w:val="Bibliography"/>
      </w:pPr>
      <w:r>
        <w:t xml:space="preserve">4. Elkasabi M.</w:t>
      </w:r>
      <w:r>
        <w:t xml:space="preserve"> </w:t>
      </w:r>
      <w:hyperlink r:id="rId48">
        <w:r>
          <w:rPr>
            <w:rStyle w:val="Hyperlink"/>
          </w:rPr>
          <w:t xml:space="preserve">DHS.rates</w:t>
        </w:r>
        <w:r>
          <w:rPr>
            <w:rStyle w:val="Hyperlink"/>
          </w:rPr>
          <w:t xml:space="preserve">: Calculates key indicators such as fertility rates and infant and child mortality rates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</w:p>
    <w:bookmarkEnd w:id="49"/>
    <w:bookmarkStart w:id="51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50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51"/>
    <w:bookmarkStart w:id="53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52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53"/>
    <w:bookmarkStart w:id="55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54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55"/>
    <w:bookmarkStart w:id="56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56"/>
    <w:bookmarkStart w:id="57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57"/>
    <w:bookmarkStart w:id="58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</w:p>
    <w:bookmarkEnd w:id="58"/>
    <w:bookmarkStart w:id="59" w:name="_f0ba6b4abf465e8b253040d0875708981a2fd4c"/>
    <w:p>
      <w:pPr>
        <w:pStyle w:val="Bibliography"/>
      </w:pPr>
      <w:r>
        <w:t xml:space="preserve">11. Rubin DB. Statistical disclosure limitation. Journal of Official Statistics. 1993;9:461–8.</w:t>
      </w:r>
    </w:p>
    <w:bookmarkEnd w:id="59"/>
    <w:bookmarkStart w:id="60" w:name="_2f1a70716496c83e2e6a8c6df7d5edf09a024c5"/>
    <w:p>
      <w:pPr>
        <w:pStyle w:val="Bibliography"/>
      </w:pPr>
      <w:r>
        <w:t xml:space="preserve">12. Raghunathan TE, Reiter JP, Rubin DB. Multiple imputation for statistical disclosure limitation. Journal of Official Statistics. 2003;19:1–16.</w:t>
      </w:r>
    </w:p>
    <w:bookmarkEnd w:id="60"/>
    <w:bookmarkStart w:id="61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</w:p>
    <w:bookmarkEnd w:id="61"/>
    <w:bookmarkStart w:id="62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</w:p>
    <w:bookmarkEnd w:id="62"/>
    <w:bookmarkStart w:id="63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</w:p>
    <w:bookmarkEnd w:id="63"/>
    <w:bookmarkStart w:id="64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</w:p>
    <w:bookmarkEnd w:id="64"/>
    <w:bookmarkStart w:id="65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</w:p>
    <w:bookmarkEnd w:id="65"/>
    <w:bookmarkStart w:id="66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66"/>
    <w:bookmarkStart w:id="67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</w:p>
    <w:bookmarkEnd w:id="67"/>
    <w:bookmarkStart w:id="68" w:name="_658ee18b5604f80a7fe4bfbdc797395d3f6bbde"/>
    <w:p>
      <w:pPr>
        <w:pStyle w:val="Bibliography"/>
      </w:pPr>
      <w:r>
        <w:t xml:space="preserve">20. Betrán AP, Ye J, Moller A-B, Zhang J, Gülmezoglu AM, Torloni MR. The increasing trend in caesarean section rates: Global, regional and national estimates: 1990-2014. PLoS ONE. 2016;11:e0148343.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https://CRAN.R-project.org/package=DHS.rates" TargetMode="Externa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RAN.R-project.org/package=DHS.rates" TargetMode="Externa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2026-10-29T22:46:34Z</dcterms:created>
  <dcterms:modified xsi:type="dcterms:W3CDTF">2026-10-29T22:46:34Z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