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AGREEMENT</w:t>
      </w:r>
    </w:p>
    <w:p>
      <w:r>
        <w:t>This Service Agreement is entered into on March 14, 2026.</w:t>
      </w:r>
    </w:p>
    <w:p>
      <w:pPr>
        <w:pStyle w:val="Heading2"/>
      </w:pPr>
      <w:r>
        <w:t>1. Parties</w:t>
      </w:r>
    </w:p>
    <w:p>
      <w:r>
        <w:t>This agreement is between Alpha Technologies Pvt Ltd ("Service Provider") and Beta Corp Ltd ("Client").</w:t>
      </w:r>
    </w:p>
    <w:p>
      <w:pPr>
        <w:pStyle w:val="Heading2"/>
      </w:pPr>
      <w:r>
        <w:t>2. Scope of Services</w:t>
      </w:r>
    </w:p>
    <w:p>
      <w:r>
        <w:t>The Service Provider shall deliver software development services including design, development, testing, and deployment of a web application as described in Annexure A.</w:t>
      </w:r>
    </w:p>
    <w:p>
      <w:pPr>
        <w:pStyle w:val="Heading2"/>
      </w:pPr>
      <w:r>
        <w:t>3. Payment Terms</w:t>
      </w:r>
    </w:p>
    <w:p>
      <w:r>
        <w:t>The Client shall pay a total fee of Rs. 15,00,000 in three installments. Payment is due within 30 days of invoice. Late payment shall incur interest at 2% per month.</w:t>
      </w:r>
    </w:p>
    <w:p>
      <w:pPr>
        <w:pStyle w:val="Heading2"/>
      </w:pPr>
      <w:r>
        <w:t>4. Liability</w:t>
      </w:r>
    </w:p>
    <w:p>
      <w:r>
        <w:t>The Service Provider assumes unlimited liability for any damages arising from breach of this agreement. The Client may seek damages without limitation at sole discretion of the Client.</w:t>
      </w:r>
    </w:p>
    <w:p>
      <w:pPr>
        <w:pStyle w:val="Heading2"/>
      </w:pPr>
      <w:r>
        <w:t>5. Confidentiality</w:t>
      </w:r>
    </w:p>
    <w:p>
      <w:r>
        <w:t>Both parties agree to maintain strict confidentiality of all proprietary information shared during the course of this engagement. This non-disclosure obligation survives termination.</w:t>
      </w:r>
    </w:p>
    <w:p>
      <w:pPr>
        <w:pStyle w:val="Heading2"/>
      </w:pPr>
      <w:r>
        <w:t>6. Termination</w:t>
      </w:r>
    </w:p>
    <w:p>
      <w:r>
        <w:t>Either party may unilateral terminate this agreement with 15 days written notice. Upon termination, the Client shall pay for all work completed. The contract includes auto-renewal for subsequent 12-month periods unless either party provides 90 day notice.</w:t>
      </w:r>
    </w:p>
    <w:p>
      <w:pPr>
        <w:pStyle w:val="Heading2"/>
      </w:pPr>
      <w:r>
        <w:t>7. Intellectual Property</w:t>
      </w:r>
    </w:p>
    <w:p>
      <w:r>
        <w:t>The Client assigns all rights, title, and interest in the deliverables upon full payment. The Service Provider retains a perpetual license to use the underlying frameworks.</w:t>
      </w:r>
    </w:p>
    <w:p>
      <w:pPr>
        <w:pStyle w:val="Heading2"/>
      </w:pPr>
      <w:r>
        <w:t>8. Non-Compete</w:t>
      </w:r>
    </w:p>
    <w:p>
      <w:r>
        <w:t>The Service Provider agrees to a non-compete clause restricting similar services to competitors for 24 months after termination.</w:t>
      </w:r>
    </w:p>
    <w:p>
      <w:pPr>
        <w:pStyle w:val="Heading2"/>
      </w:pPr>
      <w:r>
        <w:t>9. Indemnification</w:t>
      </w:r>
    </w:p>
    <w:p>
      <w:r>
        <w:t>The Service Provider shall indemnify and hold harmless the Client from any claims, damages, or losses arising from the services. The Client waives all rights to challenge the indemnification terms.</w:t>
      </w:r>
    </w:p>
    <w:p>
      <w:pPr>
        <w:pStyle w:val="Heading2"/>
      </w:pPr>
      <w:r>
        <w:t>10. Force Majeure</w:t>
      </w:r>
    </w:p>
    <w:p>
      <w:r>
        <w:t>Neither party shall be liable for delays caused by force majeure events including but not limited to natural disasters, pandemics, or government actions.</w:t>
      </w:r>
    </w:p>
    <w:p>
      <w:pPr>
        <w:pStyle w:val="Heading2"/>
      </w:pPr>
      <w:r>
        <w:t>11. Dispute Resolution</w:t>
      </w:r>
    </w:p>
    <w:p>
      <w:r>
        <w:t>Any disputes arising under this agreement shall be resolved by mutual agreement. If mutual agreement cannot be reached within 30 days, the matter shall be referred to arbitration under the laws of India.</w:t>
      </w:r>
    </w:p>
    <w:p>
      <w:pPr>
        <w:pStyle w:val="Heading2"/>
      </w:pPr>
      <w:r>
        <w:t>12. Governing Law</w:t>
      </w:r>
    </w:p>
    <w:p>
      <w:r>
        <w:t>This agreement shall be governed by the applicable law of India, with jurisdiction in the courts of Bangalore.</w:t>
      </w:r>
    </w:p>
    <w:p>
      <w:pPr>
        <w:pStyle w:val="Heading2"/>
      </w:pPr>
      <w:r>
        <w:t>13. No Refund Policy</w:t>
      </w:r>
    </w:p>
    <w:p>
      <w:r>
        <w:t>All payments made under this agreement are non-refundable. No refund shall be issued under any circumstances including early termination or dissatisfaction with deliverables.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