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00"/>
        <w:jc w:val="center"/>
      </w:pPr>
      <w:r>
        <w:rPr>
          <w:b/>
          <w:bCs/>
          <w:sz w:val="44"/>
          <w:szCs w:val="44"/>
        </w:rPr>
        <w:t xml:space="preserve">3D Surface Fuels &amp; Vegetation Modeling</w:t>
      </w:r>
    </w:p>
    <w:p>
      <w:pPr>
        <w:spacing w:after="200"/>
        <w:jc w:val="center"/>
      </w:pPr>
      <w:r>
        <w:rPr>
          <w:color w:val="2c7fb8"/>
          <w:sz w:val="30"/>
          <w:szCs w:val="30"/>
        </w:rPr>
        <w:t xml:space="preserve">Prize Challenge — Phase-1 Submission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A measured, field-calibrated 1 m surface-fuel product that beats FastFuels’ uniform layer — from free spaceborne data, anywhere.</w:t>
      </w:r>
    </w:p>
    <w:p>
      <w:pPr>
        <w:spacing w:after="60"/>
        <w:jc w:val="center"/>
      </w:pPr>
      <w:r>
        <w:rPr>
          <w:color w:val="555555"/>
          <w:sz w:val="18"/>
          <w:szCs w:val="18"/>
        </w:rPr>
        <w:t xml:space="preserve">Phase-1 deadline 2026-07-20 · all results reproducible from open data &amp; code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thesis, in one figure</w:t>
      </w:r>
    </w:p>
    <w:p>
      <w:r>
        <w:t xml:space="preserve">FastFuels paints surface fuel as </w:t>
      </w:r>
      <w:r>
        <w:rPr>
          <w:b/>
          <w:bCs/>
        </w:rPr>
        <w:t xml:space="preserve">one number per 30 m LANDFIRE fuel-model class</w:t>
      </w:r>
      <w:r>
        <w:t xml:space="preserve"> — uniform within the class, by construction. We </w:t>
      </w:r>
      <w:r>
        <w:rPr>
          <w:b/>
          <w:bCs/>
        </w:rPr>
        <w:t xml:space="preserve">measure it at 1 m</w:t>
      </w:r>
      <w:r>
        <w:t xml:space="preserve"> and calibrate it to destructive ground truth. The same 510 m OSBS scene, two products: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Figure 1. FastFuels-style uniform surface load (CV 0) vs. our measured 1 m surface load (CV 1.13) over OSBS. Same mean load; only ours carries the sub-class heterogeneity that fire models consume." descr="Figure 1. FastFuels-style uniform surface load (CV 0) vs. our measured 1 m surface load (CV 1.13) over OSBS. Same mean load; only ours carries the sub-class heterogeneity that fire models consume." title="Figure 1. FastFuels-style uniform surface load (CV 0) vs. our measured 1 m surface load (CV 1.13) over OSBS. Same mean load; only ours carries the sub-class heterogeneity that fire models consu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1. FastFuels-style uniform surface load (CV 0) vs. our measured 1 m surface load (CV 1.13) over OSBS. Same mean load; only ours carries the sub-class heterogeneity that fire models consume.</w:t>
      </w:r>
    </w:p>
    <w:p>
      <w:pPr>
        <w:pStyle w:val="Heading1"/>
      </w:pPr>
      <w:r>
        <w:t xml:space="preserve">2. Method</w:t>
      </w:r>
    </w:p>
    <w:p>
      <w:r>
        <w:t xml:space="preserve">From LiDAR we compute </w:t>
      </w:r>
      <w:r>
        <w:rPr>
          <w:b/>
          <w:bCs/>
        </w:rPr>
        <w:t xml:space="preserve">vertical occupancy</w:t>
      </w:r>
      <w:r>
        <w:t xml:space="preserve"> (the fraction of 0.15–4 m height-bins that contain returns — a density-robust understory-structure metric), voxelize it to 1 m³ bulk density, and </w:t>
      </w:r>
      <w:r>
        <w:rPr>
          <w:b/>
          <w:bCs/>
        </w:rPr>
        <w:t xml:space="preserve">field-calibrate it to surface fuel load against RxCADRE destructive clip plots</w:t>
      </w:r>
      <w:r>
        <w:t xml:space="preserve"> (occupancy → total load, slope 1.33 kg/m², R² 0.93). Where airborne LiDAR is absent, a </w:t>
      </w:r>
      <w:r>
        <w:rPr>
          <w:b/>
          <w:bCs/>
        </w:rPr>
        <w:t xml:space="preserve">per-pixel gradient-boosting model</w:t>
      </w:r>
      <w:r>
        <w:t xml:space="preserve"> predicts that same occupancy from globally-free spaceborne inputs — AlphaEarth embeddings, Sentinel-1 C-band, ALOS PALSAR L-band, and global canopy height — with conformal uncertainty and an out-of-distribution flag, then disaggregates to a FastFuels-compatible 1 m³ NetCDF. Simple, explainable, and every layer is measured or field-anchored — no hallucinated structure.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895600"/>
            <wp:effectExtent t="0" r="0" b="0" l="0"/>
            <wp:docPr id="1" name="Figure 2. End-to-end method. LiDAR-measured occupancy trains a per-pixel model on free spaceborne inputs; RxCADRE clip plots calibrate occupancy to load; output is a 1 m³ FastFuels-compatible NetCDF." descr="Figure 2. End-to-end method. LiDAR-measured occupancy trains a per-pixel model on free spaceborne inputs; RxCADRE clip plots calibrate occupancy to load; output is a 1 m³ FastFuels-compatible NetCDF." title="Figure 2. End-to-end method. LiDAR-measured occupancy trains a per-pixel model on free spaceborne inputs; RxCADRE clip plots calibrate occupancy to load; output is a 1 m³ FastFuels-compatible NetCDF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End-to-end method. LiDAR-measured occupancy trains a per-pixel model on free spaceborne inputs; RxCADRE clip plots calibrate occupancy to load; output is a 1 m³ FastFuels-compatible NetCDF.</w:t>
      </w:r>
    </w:p>
    <w:p>
      <w:r>
        <w:t xml:space="preserve">Differentiator vs the host team’s ForestGen3D and de Conto (2025): they generate/predict </w:t>
      </w:r>
      <w:r>
        <w:rPr>
          <w:i/>
          <w:iCs/>
        </w:rPr>
        <w:t xml:space="preserve">canopy</w:t>
      </w:r>
      <w:r>
        <w:t xml:space="preserve"> structure; we deliver an independent physical measurement of the </w:t>
      </w:r>
      <w:r>
        <w:rPr>
          <w:i/>
          <w:iCs/>
        </w:rPr>
        <w:t xml:space="preserve">surface/understory</w:t>
      </w:r>
      <w:r>
        <w:t xml:space="preserve"> layer, calibrated to destructive truth, with honest uncertainty.</w:t>
      </w:r>
    </w:p>
    <w:p>
      <w:pPr>
        <w:pStyle w:val="Heading1"/>
      </w:pPr>
      <w:r>
        <w:t xml:space="preserve">3. Deliverables in this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rPr>
          <w:tblHeader/>
        </w:trP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m³ voxel NetCDF, FastFuels “Option C” (measured / uniform / generalized)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build_deliverable_osbs.py → osbs_*_1m.nc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AOI boundary polygon (WGS84 + native CRS)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osbs_boundary.geojson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Property maps + interactive 3D viewer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figures/ + Streamlit dashboard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research/RESULTS.md, VALIDATION.md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ingestion/visualization tool (one command)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scripts/read_deliverable.py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“generate anywhere” demo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dashboard/app.py</w:t>
            </w:r>
          </w:p>
        </w:tc>
      </w:tr>
    </w:tbl>
    <w:p>
      <w:pPr>
        <w:spacing w:after="80"/>
      </w:pPr>
      <w:r>
        <w:t xml:space="preserve"/>
      </w:r>
    </w:p>
    <w:p>
      <w:r>
        <w:t xml:space="preserve">Fuel properties in the NetCDF (empty cells use the challenge sentinel 1.23456):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2160"/>
        <w:gridCol w:w="2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bulk_density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(z,y,x)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kg/m³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fuel_load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kg/m²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percent_cover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(z,y,x)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1/m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live_fraction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(z,y,x)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dead_fuel_moisture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live_fuel_moisture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heat_of_combustion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(z,y,x)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kJ/kg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avg patch size, &lt;2 m heterogeneity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m, 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</w:tr>
    </w:tbl>
    <w:p>
      <w:pPr>
        <w:pStyle w:val="Heading1"/>
      </w:pPr>
      <w:r>
        <w:t xml:space="preserve">4. Evidence, mapped to the Phase-1 judging criteria</w:t>
      </w:r>
    </w:p>
    <w:p>
      <w:pPr>
        <w:pStyle w:val="Heading2"/>
      </w:pPr>
      <w:r>
        <w:t xml:space="preserve">(1) Utility of the methodology</w:t>
      </w:r>
    </w:p>
    <w:p>
      <w:r>
        <w:t xml:space="preserve">Head-to-head vs the real FastFuels method (LANDFIRE FBFM40 → SB40 load lookup) on the OSBS 1 m product: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060"/>
        <w:gridCol w:w="1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overall R²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within-block R² (sub-30 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heterogeneity CV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FastFuels uniform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 (by construction)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Ours (end-to-end)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0.664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0.274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0.73 (truth 0.89)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Our within-block R² of </w:t>
      </w:r>
      <w:r>
        <w:rPr>
          <w:b/>
          <w:bCs/>
          <w:sz w:val="20"/>
          <w:szCs w:val="20"/>
        </w:rPr>
        <w:t xml:space="preserve">0.27</w:t>
      </w:r>
      <w:r>
        <w:rPr>
          <w:sz w:val="20"/>
          <w:szCs w:val="20"/>
        </w:rPr>
        <w:t xml:space="preserve"> is exactly the sub-class heterogeneity FastFuels cannot represent. Output is drop-in FastFuels-compatible, in field-calibrated kg/m².</w:t>
      </w:r>
    </w:p>
    <w:p>
      <w:pPr>
        <w:pStyle w:val="Heading2"/>
      </w:pPr>
      <w:r>
        <w:t xml:space="preserve">(2) Generality of approach</w:t>
      </w:r>
    </w:p>
    <w:p>
      <w:r>
        <w:t xml:space="preserve">The identical pipeline runs across 15 ecosystems on 4 continents (US savanna, desert, conifer, deciduous, wetland; European temperate + hemiboreal; equatorial Amazon + Borneo rainforest) with no code changes. Cross-ecosystem leave-one-site-out: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Between-biome / absolute level: solved</w:t>
      </w:r>
      <w:r>
        <w:t xml:space="preserve"> — GLOBAL R² 0.49, between-biome R² 0.81.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Within-biome fine structure, unseen forest: works</w:t>
      </w:r>
      <w:r>
        <w:t xml:space="preserve"> — median within-R² +0.11; within-Spearman ~0.3–0.6 (mean ~0.4).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 conservative per-biome-radius OOD flag</w:t>
      </w:r>
      <w:r>
        <w:t xml:space="preserve"> marks locations unlike any training ecosystem — grounded where trained, honestly flagged elsewhere.</w:t>
      </w:r>
    </w:p>
    <w:p>
      <w:pPr>
        <w:pStyle w:val="Heading2"/>
      </w:pPr>
      <w:r>
        <w:t xml:space="preserve">(3) Data acquisition challenges &amp; cost</w:t>
      </w:r>
    </w:p>
    <w:p>
      <w:r>
        <w:t xml:space="preserve">100% free / open, and no field campaign is required at inference. Inputs: USGS 3DEP LiDAR, AlphaEarth (free S3 mirror), Sentinel-1 + ALOS PALSAR + Copernicus DEM (Planetary Computer), Meta/WRI canopy height (open AWS), ESA WorldCover; truth from RxCADRE (USFS) + NEON. The global model needs only spaceborne inputs at inference — LiDAR is used to train, not to deploy.</w:t>
      </w:r>
    </w:p>
    <w:p>
      <w:pPr>
        <w:pStyle w:val="Heading2"/>
      </w:pPr>
      <w:r>
        <w:t xml:space="preserve">(4) Clarity of methodology</w:t>
      </w:r>
    </w:p>
    <w:p>
      <w:r>
        <w:t xml:space="preserve">Every step compresses to one sentence and every number is script-reproducible. We use a per-pixel gradient-boosting model — and proved it is the right choice at this scale via a faithful head-to-head vs the de Conto (2025) fully-convolutional EfficientNetV2 paradigm on the same target and spatial folds: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800"/>
        <w:gridCol w:w="2000"/>
        <w:gridCol w:w="1800"/>
      </w:tblGrid>
      <w:tr>
        <w:trPr>
          <w:tblHeader/>
        </w:trP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R² (all)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under-canopy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interval coverage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Ours: per-pixel quantile GBM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0.628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0.375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Conto: fully-conv CNN (NLL)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−0.147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−0.380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1" name="Figure 3. At AOI scale a per-pixel model with proper spatial CV beats the CNN paradigm decisively (the CNN needs continental training our tiled design supports)." descr="Figure 3. At AOI scale a per-pixel model with proper spatial CV beats the CNN paradigm decisively (the CNN needs continental training our tiled design supports)." title="Figure 3. At AOI scale a per-pixel model with proper spatial CV beats the CNN paradigm decisively (the CNN needs continental training our tiled design support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3. At AOI scale a per-pixel model with proper spatial CV beats the CNN paradigm decisively (the CNN needs continental training our tiled design supports).</w:t>
      </w:r>
    </w:p>
    <w:p>
      <w:pPr>
        <w:pStyle w:val="Heading2"/>
      </w:pPr>
      <w:r>
        <w:t xml:space="preserve">(5) Credibility of validation (top-weighted)</w:t>
      </w:r>
    </w:p>
    <w:p>
      <w:pPr>
        <w:pStyle w:val="ListParagraph"/>
        <w:numPr>
          <w:ilvl w:val="0"/>
          <w:numId w:val="2"/>
        </w:numPr>
      </w:pPr>
      <w:r>
        <w:t xml:space="preserve">Spatially-blocked cross-validation everywhere; leave-one-site-out for cross-ecosystem generality.</w:t>
      </w:r>
    </w:p>
    <w:p>
      <w:pPr>
        <w:pStyle w:val="ListParagraph"/>
        <w:numPr>
          <w:ilvl w:val="0"/>
          <w:numId w:val="2"/>
        </w:numPr>
      </w:pPr>
      <w:r>
        <w:t xml:space="preserve">Calibrated uncertainty: conformal prediction intervals (85% empirical coverage) + per-cell OOD score.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calibration to destructive truth</w:t>
      </w:r>
      <w:r>
        <w:t xml:space="preserve">: occupancy → RxCADRE total surface load, R² 0.93 across 9 Eglin burn blocks (grass 0.21 → forest 1.12 kg/m²).</w:t>
      </w:r>
    </w:p>
    <w:p>
      <w:pPr>
        <w:pStyle w:val="ListParagraph"/>
        <w:numPr>
          <w:ilvl w:val="0"/>
          <w:numId w:val="2"/>
        </w:numPr>
      </w:pPr>
      <w:r>
        <w:t xml:space="preserve">Honest negative results reported (cross-ecosystem within-biome is hard; NEON herb clips are the wrong stratum, R² 0.02).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3457575"/>
            <wp:effectExtent t="0" r="0" b="0" l="0"/>
            <wp:docPr id="1" name="Figure 4. Absolute load is field-anchored: model occupancy vs RxCADRE destructive total surface load, slope 1.33 kg/m², R² 0.93." descr="Figure 4. Absolute load is field-anchored: model occupancy vs RxCADRE destructive total surface load, slope 1.33 kg/m², R² 0.93." title="Figure 4. Absolute load is field-anchored: model occupancy vs RxCADRE destructive total surface load, slope 1.33 kg/m², R² 0.9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4. Absolute load is field-anchored: model occupancy vs RxCADRE destructive total surface load, slope 1.33 kg/m², R² 0.93.</w:t>
      </w:r>
    </w:p>
    <w:p>
      <w:pPr>
        <w:pStyle w:val="Heading2"/>
      </w:pPr>
      <w:r>
        <w:t xml:space="preserve">(6) Relevance to surface &amp; understory fuels</w:t>
      </w:r>
    </w:p>
    <w:p>
      <w:r>
        <w:t xml:space="preserve">The target is explicitly the 0.15–4 m understory stratum (vertical occupancy → surface load), calibrated to RxCADRE surface clip plots — distinct from canopy-structure indices (de Conto’s WSCI) and from FastFuels’ canopy voxels. SAR + canopy-height features infer understory where optical saturates.</w:t>
      </w:r>
    </w:p>
    <w:p>
      <w:pPr>
        <w:pStyle w:val="Heading2"/>
      </w:pPr>
      <w:r>
        <w:t xml:space="preserve">(7) Practical scalability</w:t>
      </w:r>
    </w:p>
    <w:p>
      <w:r>
        <w:t xml:space="preserve">Global by design: free spaceborne inputs, on-demand per-AOI inference with a canonical-tile disk cache, memory-safe by construction (10 m inference, hard AOI cap, voxel-budgeted 1 m export). Coverage extends tile-by-tile — adding Amazon + Borneo moved the tropics from OOD to in-distribution.</w:t>
      </w:r>
    </w:p>
    <w:p>
      <w:r>
        <w:br w:type="page"/>
      </w:r>
    </w:p>
    <w:p>
      <w:pPr>
        <w:pStyle w:val="Heading1"/>
      </w:pPr>
      <w:r>
        <w:t xml:space="preserve">5. The delivered product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Figure 5. OSBS 1 m deliverable property maps: measured load, FastFuels-uniform baseline, generalized (spaceborne) load, fuelbed depth, bulk density, and voxel occupancy." descr="Figure 5. OSBS 1 m deliverable property maps: measured load, FastFuels-uniform baseline, generalized (spaceborne) load, fuelbed depth, bulk density, and voxel occupancy." title="Figure 5. OSBS 1 m deliverable property maps: measured load, FastFuels-uniform baseline, generalized (spaceborne) load, fuelbed depth, bulk density, and voxel occupa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5. OSBS 1 m deliverable property maps: measured load, FastFuels-uniform baseline, generalized (spaceborne) load, fuelbed depth, bulk density, and voxel occupancy.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Figure 6. End-to-end spaceborne→ 30 m → 10 m pipeline validated against measured 3DEP truth vs a FastFuels-style uniform layer." descr="Figure 6. End-to-end spaceborne→ 30 m → 10 m pipeline validated against measured 3DEP truth vs a FastFuels-style uniform layer." title="Figure 6. End-to-end spaceborne→ 30 m → 10 m pipeline validated against measured 3DEP truth vs a FastFuels-style uniform lay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6. End-to-end spaceborne→ 30 m → 10 m pipeline validated against measured 3DEP truth vs a FastFuels-style uniform layer.</w:t>
      </w:r>
    </w:p>
    <w:p>
      <w:pPr>
        <w:pStyle w:val="Heading1"/>
      </w:pPr>
      <w:r>
        <w:t xml:space="preserve">6. Limitations (stated plainly)</w:t>
      </w:r>
    </w:p>
    <w:p>
      <w:pPr>
        <w:pStyle w:val="ListParagraph"/>
        <w:numPr>
          <w:ilvl w:val="0"/>
          <w:numId w:val="2"/>
        </w:numPr>
      </w:pPr>
      <w:r>
        <w:t xml:space="preserve">Absolute-load calibration is single-ecosystem (Eglin/RxCADRE, R² 0.93 over a wide range); multi-site destructive plots would refine per-biome transfer (forests read slightly low, deserts slightly high).</w:t>
      </w:r>
    </w:p>
    <w:p>
      <w:pPr>
        <w:pStyle w:val="ListParagraph"/>
        <w:numPr>
          <w:ilvl w:val="0"/>
          <w:numId w:val="2"/>
        </w:numPr>
      </w:pPr>
      <w:r>
        <w:t xml:space="preserve">Within-biome fine structure in a brand-new biome is partially solved (forests) — the genuine sensing limit; L-band + canopy height help, GEDI is sparse.</w:t>
      </w:r>
    </w:p>
    <w:p>
      <w:pPr>
        <w:pStyle w:val="ListParagraph"/>
        <w:numPr>
          <w:ilvl w:val="0"/>
          <w:numId w:val="2"/>
        </w:numPr>
      </w:pPr>
      <w:r>
        <w:t xml:space="preserve">Fuel moisture (P2) is populated but coarse: dead FM from ERA5 (near-uniform at AOI scale), live FM a Sentinel-2 NDVI proxy. Species mix (P3) is out of scope for Phase 1.</w:t>
      </w:r>
    </w:p>
    <w:p>
      <w:pPr>
        <w:pStyle w:val="ListParagraph"/>
        <w:numPr>
          <w:ilvl w:val="0"/>
          <w:numId w:val="2"/>
        </w:numPr>
      </w:pPr>
      <w:r>
        <w:t xml:space="preserve">The OOD flag is conservative by design — it warns rather than silently extrapolating.</w:t>
      </w:r>
    </w:p>
    <w:p>
      <w:pPr>
        <w:pStyle w:val="Heading1"/>
      </w:pPr>
      <w:r>
        <w:t xml:space="preserve">7. Reproducibility &amp; data sources</w:t>
      </w:r>
    </w:p>
    <w:p>
      <w:r>
        <w:t xml:space="preserve">pip install -r requirements.txt, then: build_deliverable_osbs.py (product), read_deliverable.py (ingest/viz), build_pipeline_osbs.py [--site] (end-to-end + generality), calibrate_load_field.py (RxCADRE calibration), compare_load_vs_fastfuels.py, global_coverage_table.py, deconto_headtohead.py, streamlit run dashboard/app.py.</w:t>
      </w:r>
    </w:p>
    <w:p>
      <w:r>
        <w:t xml:space="preserve">Data (all free/open): USGS 3DEP; AlphaEarth (Source Coop S3); Sentinel-1, ALOS PALSAR, Copernicus DEM, ESA WorldCover, Sentinel-2 (Microsoft Planetary Computer); Meta/WRI global canopy height (AWS Open Data); ERA5 (Copernicus CDS); RxCADRE (USFS Research Data Archive); NEON.</w:t>
      </w:r>
    </w:p>
    <w:p>
      <w:pPr>
        <w:pStyle w:val="Heading1"/>
      </w:pPr>
      <w:r>
        <w:t xml:space="preserve">8. Eligibility &amp; IP</w:t>
      </w:r>
    </w:p>
    <w:p>
      <w:r>
        <w:t xml:space="preserve">Team eligibility (18+, U.S./NATO citizens, non-federal, no federal funds) per the challenge terms. Participants retain IP; the U.S. Government and partners receive permanent access per the rules. No protective markings applied.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3D Surface Fuels — Phase-1 Submission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c7f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375601a18d5552eed2adee6f4b9140f631c715d.png"/><Relationship Id="rId9" Type="http://schemas.openxmlformats.org/officeDocument/2006/relationships/image" Target="media/8727cc415f5a11ff4d279c26403d15ba2b1e31f4.png"/><Relationship Id="rId10" Type="http://schemas.openxmlformats.org/officeDocument/2006/relationships/image" Target="media/c3b4ea5bcd54e092cfa4659d546a87d422953cf5.png"/><Relationship Id="rId11" Type="http://schemas.openxmlformats.org/officeDocument/2006/relationships/image" Target="media/171a487da455cd26bd1fe345647545a5b2e3c9d3.png"/><Relationship Id="rId12" Type="http://schemas.openxmlformats.org/officeDocument/2006/relationships/image" Target="media/0c0cce0f4bbaa4b1a056adca67770d35000f98f7.png"/><Relationship Id="rId13" Type="http://schemas.openxmlformats.org/officeDocument/2006/relationships/image" Target="media/b193b1f468ac49d286e8f77813f6f5263e94445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Surface Fuels — Phase-1 Submission</dc:title>
  <dc:creator>3D Surface Fuels team</dc:creator>
  <cp:lastModifiedBy>Un-named</cp:lastModifiedBy>
  <cp:revision>1</cp:revision>
  <dcterms:created xsi:type="dcterms:W3CDTF">2026-07-01T18:08:14.709Z</dcterms:created>
  <dcterms:modified xsi:type="dcterms:W3CDTF">2026-07-01T18:08:14.710Z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