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Student Performance AI</w:t>
        <w:br/>
        <w:t>Two-Page Project Summary</w:t>
      </w:r>
    </w:p>
    <w:p>
      <w:pPr>
        <w:spacing w:after="80"/>
        <w:jc w:val="center"/>
      </w:pPr>
      <w:r>
        <w:rPr>
          <w:i/>
          <w:sz w:val="20"/>
        </w:rPr>
        <w:t>BIT Management System Prototype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EF4FF"/>
          </w:tcPr>
          <w:p>
            <w:r>
              <w:rPr>
                <w:b/>
                <w:sz w:val="20"/>
              </w:rPr>
              <w:t>Problem Statement</w:t>
              <w:br/>
            </w:r>
            <w:r>
              <w:rPr>
                <w:sz w:val="18"/>
              </w:rPr>
              <w:t>Predict student performance bands and identify students who are academically at risk.</w:t>
            </w:r>
          </w:p>
        </w:tc>
        <w:tc>
          <w:tcPr>
            <w:tcW w:type="dxa" w:w="5400"/>
            <w:shd w:fill="F8FAFC"/>
          </w:tcPr>
          <w:p>
            <w:r>
              <w:rPr>
                <w:b/>
                <w:sz w:val="20"/>
              </w:rPr>
              <w:t>Current Results</w:t>
              <w:br/>
            </w:r>
            <w:r>
              <w:rPr>
                <w:sz w:val="18"/>
              </w:rPr>
              <w:t>Accuracy: 0.6458</w:t>
              <w:br/>
            </w:r>
            <w:r>
              <w:rPr>
                <w:sz w:val="18"/>
              </w:rPr>
              <w:t>Weighted F1: 0.6349</w:t>
              <w:br/>
            </w:r>
            <w:r>
              <w:rPr>
                <w:sz w:val="18"/>
              </w:rPr>
              <w:t>Train/Test: 960 / 240</w:t>
              <w:br/>
            </w:r>
            <w:r>
              <w:rPr>
                <w:sz w:val="18"/>
              </w:rPr>
              <w:t>Target: Low / Medium / High</w:t>
              <w:br/>
            </w:r>
          </w:p>
        </w:tc>
      </w:tr>
    </w:tbl>
    <w:p>
      <w:pPr>
        <w:spacing w:before="60" w:after="20"/>
      </w:pPr>
      <w:r>
        <w:rPr>
          <w:b/>
          <w:sz w:val="22"/>
        </w:rPr>
        <w:t>1. Objective</w:t>
      </w:r>
    </w:p>
    <w:p>
      <w:pPr>
        <w:pStyle w:val="ListBullet"/>
        <w:spacing w:before="0" w:after="0" w:line="240" w:lineRule="auto"/>
      </w:pPr>
      <w:r>
        <w:rPr>
          <w:sz w:val="18"/>
        </w:rPr>
        <w:t>Predict student performance bands from academic and behavioral inputs.</w:t>
      </w:r>
    </w:p>
    <w:p>
      <w:pPr>
        <w:pStyle w:val="ListBullet"/>
        <w:spacing w:before="0" w:after="0" w:line="240" w:lineRule="auto"/>
      </w:pPr>
      <w:r>
        <w:rPr>
          <w:sz w:val="18"/>
        </w:rPr>
        <w:t>Identify students who are academically at risk.</w:t>
      </w:r>
    </w:p>
    <w:p>
      <w:pPr>
        <w:pStyle w:val="ListBullet"/>
        <w:spacing w:before="0" w:after="0" w:line="240" w:lineRule="auto"/>
      </w:pPr>
      <w:r>
        <w:rPr>
          <w:sz w:val="18"/>
        </w:rPr>
        <w:t>Generate recommendation-oriented intervention support.</w:t>
      </w:r>
    </w:p>
    <w:p>
      <w:pPr>
        <w:spacing w:before="60" w:after="20"/>
      </w:pPr>
      <w:r>
        <w:rPr>
          <w:b/>
          <w:sz w:val="22"/>
        </w:rPr>
        <w:t>2. Why Random Forest</w:t>
      </w:r>
    </w:p>
    <w:p>
      <w:pPr>
        <w:pStyle w:val="ListBullet"/>
        <w:spacing w:before="0" w:after="0" w:line="240" w:lineRule="auto"/>
      </w:pPr>
      <w:r>
        <w:rPr>
          <w:sz w:val="18"/>
        </w:rPr>
        <w:t>Works well on structured student data such as attendance, GPA, quizzes, and assignments.</w:t>
      </w:r>
    </w:p>
    <w:p>
      <w:pPr>
        <w:pStyle w:val="ListBullet"/>
        <w:spacing w:before="0" w:after="0" w:line="240" w:lineRule="auto"/>
      </w:pPr>
      <w:r>
        <w:rPr>
          <w:sz w:val="18"/>
        </w:rPr>
        <w:t>Captures non-linear relationships between academic indicators.</w:t>
      </w:r>
    </w:p>
    <w:p>
      <w:pPr>
        <w:pStyle w:val="ListBullet"/>
        <w:spacing w:before="0" w:after="0" w:line="240" w:lineRule="auto"/>
      </w:pPr>
      <w:r>
        <w:rPr>
          <w:sz w:val="18"/>
        </w:rPr>
        <w:t>More stable than a single decision tree and easier to explain in project review.</w:t>
      </w:r>
    </w:p>
    <w:p>
      <w:pPr>
        <w:pStyle w:val="ListBullet"/>
        <w:spacing w:before="0" w:after="0" w:line="240" w:lineRule="auto"/>
      </w:pPr>
      <w:r>
        <w:rPr>
          <w:sz w:val="18"/>
        </w:rPr>
        <w:t>Provides feature importance, which supports explainability.</w:t>
      </w:r>
    </w:p>
    <w:p>
      <w:pPr>
        <w:spacing w:before="60" w:after="20"/>
      </w:pPr>
      <w:r>
        <w:rPr>
          <w:b/>
          <w:sz w:val="22"/>
        </w:rPr>
        <w:t>3. Inputs And Target</w:t>
      </w:r>
    </w:p>
    <w:p>
      <w:pPr>
        <w:pStyle w:val="ListBullet"/>
        <w:spacing w:before="0" w:after="0" w:line="240" w:lineRule="auto"/>
      </w:pPr>
      <w:r>
        <w:rPr>
          <w:sz w:val="18"/>
        </w:rPr>
        <w:t>Numeric features: attendance, assignments, quizzes, internal exam, labs, study hours, LMS logins, GPA, project score.</w:t>
      </w:r>
    </w:p>
    <w:p>
      <w:pPr>
        <w:pStyle w:val="ListBullet"/>
        <w:spacing w:before="0" w:after="0" w:line="240" w:lineRule="auto"/>
      </w:pPr>
      <w:r>
        <w:rPr>
          <w:sz w:val="18"/>
        </w:rPr>
        <w:t>Categorical features: department, study mode, internet access, part-time job, extracurricular activity.</w:t>
      </w:r>
    </w:p>
    <w:p>
      <w:pPr>
        <w:pStyle w:val="ListBullet"/>
        <w:spacing w:before="0" w:after="0" w:line="240" w:lineRule="auto"/>
      </w:pPr>
      <w:r>
        <w:rPr>
          <w:sz w:val="18"/>
        </w:rPr>
        <w:t>Low: Performance score below 105</w:t>
      </w:r>
    </w:p>
    <w:p>
      <w:pPr>
        <w:pStyle w:val="ListBullet"/>
        <w:spacing w:before="0" w:after="0" w:line="240" w:lineRule="auto"/>
      </w:pPr>
      <w:r>
        <w:rPr>
          <w:sz w:val="18"/>
        </w:rPr>
        <w:t>Medium: Performance score between 105 and 123</w:t>
      </w:r>
    </w:p>
    <w:p>
      <w:pPr>
        <w:pStyle w:val="ListBullet"/>
        <w:spacing w:before="0" w:after="0" w:line="240" w:lineRule="auto"/>
      </w:pPr>
      <w:r>
        <w:rPr>
          <w:sz w:val="18"/>
        </w:rPr>
        <w:t>High: Performance score above 123</w:t>
      </w:r>
    </w:p>
    <w:p>
      <w:pPr>
        <w:spacing w:before="60" w:after="20"/>
      </w:pPr>
      <w:r>
        <w:rPr>
          <w:b/>
          <w:sz w:val="22"/>
        </w:rPr>
        <w:t>4. Working Of The System</w:t>
      </w:r>
    </w:p>
    <w:p>
      <w:pPr>
        <w:pStyle w:val="ListBullet"/>
        <w:spacing w:before="0" w:after="0" w:line="240" w:lineRule="auto"/>
      </w:pPr>
      <w:r>
        <w:rPr>
          <w:sz w:val="18"/>
        </w:rPr>
        <w:t>Dataset is generated or loaded.</w:t>
      </w:r>
    </w:p>
    <w:p>
      <w:pPr>
        <w:pStyle w:val="ListBullet"/>
        <w:spacing w:before="0" w:after="0" w:line="240" w:lineRule="auto"/>
      </w:pPr>
      <w:r>
        <w:rPr>
          <w:sz w:val="18"/>
        </w:rPr>
        <w:t>Numeric and categorical columns are preprocessed separately.</w:t>
      </w:r>
    </w:p>
    <w:p>
      <w:pPr>
        <w:pStyle w:val="ListBullet"/>
        <w:spacing w:before="0" w:after="0" w:line="240" w:lineRule="auto"/>
      </w:pPr>
      <w:r>
        <w:rPr>
          <w:sz w:val="18"/>
        </w:rPr>
        <w:t>Missing values are handled with median/most-frequent imputation.</w:t>
      </w:r>
    </w:p>
    <w:p>
      <w:pPr>
        <w:pStyle w:val="ListBullet"/>
        <w:spacing w:before="0" w:after="0" w:line="240" w:lineRule="auto"/>
      </w:pPr>
      <w:r>
        <w:rPr>
          <w:sz w:val="18"/>
        </w:rPr>
        <w:t>Categorical values are converted using one-hot encoding.</w:t>
      </w:r>
    </w:p>
    <w:p>
      <w:pPr>
        <w:pStyle w:val="ListBullet"/>
        <w:spacing w:before="0" w:after="0" w:line="240" w:lineRule="auto"/>
      </w:pPr>
      <w:r>
        <w:rPr>
          <w:sz w:val="18"/>
        </w:rPr>
        <w:t>Random Forest predicts the performance band.</w:t>
      </w:r>
    </w:p>
    <w:p>
      <w:pPr>
        <w:pStyle w:val="ListBullet"/>
        <w:spacing w:before="0" w:after="0" w:line="240" w:lineRule="auto"/>
      </w:pPr>
      <w:r>
        <w:rPr>
          <w:sz w:val="18"/>
        </w:rPr>
        <w:t>A recommendation layer converts weak indicators into academic actions.</w:t>
      </w:r>
    </w:p>
    <w:p>
      <w:pPr>
        <w:spacing w:before="60" w:after="20"/>
      </w:pPr>
      <w:r>
        <w:rPr>
          <w:b/>
          <w:sz w:val="22"/>
        </w:rPr>
        <w:t>5. Core Visuals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distribu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ture_importa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before="60" w:after="20"/>
      </w:pPr>
      <w:r>
        <w:rPr>
          <w:b/>
          <w:sz w:val="22"/>
        </w:rPr>
        <w:t>6. Model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BEAFE"/>
          </w:tcPr>
          <w:p>
            <w:r>
              <w:t>Actual \ Predicted</w:t>
            </w:r>
          </w:p>
        </w:tc>
        <w:tc>
          <w:tcPr>
            <w:tcW w:type="dxa" w:w="2700"/>
            <w:shd w:fill="DBEAFE"/>
          </w:tcPr>
          <w:p>
            <w:r>
              <w:t>Low</w:t>
            </w:r>
          </w:p>
        </w:tc>
        <w:tc>
          <w:tcPr>
            <w:tcW w:type="dxa" w:w="2700"/>
            <w:shd w:fill="DBEAFE"/>
          </w:tcPr>
          <w:p>
            <w:r>
              <w:t>Medium</w:t>
            </w:r>
          </w:p>
        </w:tc>
        <w:tc>
          <w:tcPr>
            <w:tcW w:type="dxa" w:w="2700"/>
            <w:shd w:fill="DBEAFE"/>
          </w:tcPr>
          <w:p>
            <w:r>
              <w:t>High</w:t>
            </w:r>
          </w:p>
        </w:tc>
      </w:tr>
      <w:tr>
        <w:tc>
          <w:tcPr>
            <w:tcW w:type="dxa" w:w="2700"/>
            <w:shd w:fill="F1F5F9"/>
          </w:tcPr>
          <w:p>
            <w:r>
              <w:t>Low</w:t>
            </w:r>
          </w:p>
        </w:tc>
        <w:tc>
          <w:tcPr>
            <w:tcW w:type="dxa" w:w="2700"/>
          </w:tcPr>
          <w:p>
            <w:r>
              <w:t>24</w:t>
            </w:r>
          </w:p>
        </w:tc>
        <w:tc>
          <w:tcPr>
            <w:tcW w:type="dxa" w:w="2700"/>
          </w:tcPr>
          <w:p>
            <w:r>
              <w:t>29</w:t>
            </w:r>
          </w:p>
        </w:tc>
        <w:tc>
          <w:tcPr>
            <w:tcW w:type="dxa" w:w="2700"/>
          </w:tcPr>
          <w:p>
            <w:r>
              <w:t>0</w:t>
            </w:r>
          </w:p>
        </w:tc>
      </w:tr>
      <w:tr>
        <w:tc>
          <w:tcPr>
            <w:tcW w:type="dxa" w:w="2700"/>
            <w:shd w:fill="F1F5F9"/>
          </w:tcPr>
          <w:p>
            <w:r>
              <w:t>Medium</w:t>
            </w:r>
          </w:p>
        </w:tc>
        <w:tc>
          <w:tcPr>
            <w:tcW w:type="dxa" w:w="2700"/>
          </w:tcPr>
          <w:p>
            <w:r>
              <w:t>13</w:t>
            </w:r>
          </w:p>
        </w:tc>
        <w:tc>
          <w:tcPr>
            <w:tcW w:type="dxa" w:w="2700"/>
          </w:tcPr>
          <w:p>
            <w:r>
              <w:t>102</w:t>
            </w:r>
          </w:p>
        </w:tc>
        <w:tc>
          <w:tcPr>
            <w:tcW w:type="dxa" w:w="2700"/>
          </w:tcPr>
          <w:p>
            <w:r>
              <w:t>12</w:t>
            </w:r>
          </w:p>
        </w:tc>
      </w:tr>
      <w:tr>
        <w:tc>
          <w:tcPr>
            <w:tcW w:type="dxa" w:w="2700"/>
            <w:shd w:fill="F1F5F9"/>
          </w:tcPr>
          <w:p>
            <w:r>
              <w:t>High</w:t>
            </w:r>
          </w:p>
        </w:tc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30</w:t>
            </w:r>
          </w:p>
        </w:tc>
        <w:tc>
          <w:tcPr>
            <w:tcW w:type="dxa" w:w="2700"/>
          </w:tcPr>
          <w:p>
            <w:r>
              <w:t>29</w:t>
            </w:r>
          </w:p>
        </w:tc>
      </w:tr>
    </w:tbl>
    <w:p>
      <w:pPr>
        <w:pStyle w:val="ListBullet"/>
        <w:spacing w:before="0" w:after="0" w:line="240" w:lineRule="auto"/>
      </w:pPr>
      <w:r>
        <w:rPr>
          <w:sz w:val="18"/>
        </w:rPr>
        <w:t>The model predicts Medium-class students most strongly.</w:t>
      </w:r>
    </w:p>
    <w:p>
      <w:pPr>
        <w:pStyle w:val="ListBullet"/>
        <w:spacing w:before="0" w:after="0" w:line="240" w:lineRule="auto"/>
      </w:pPr>
      <w:r>
        <w:rPr>
          <w:sz w:val="18"/>
        </w:rPr>
        <w:t>Some Low and High students still overlap with Medium, which is realistic for a prototype.</w:t>
      </w:r>
    </w:p>
    <w:p>
      <w:pPr>
        <w:pStyle w:val="ListBullet"/>
        <w:spacing w:before="0" w:after="0" w:line="240" w:lineRule="auto"/>
      </w:pPr>
      <w:r>
        <w:rPr>
          <w:sz w:val="18"/>
        </w:rPr>
        <w:t>The current performance is suitable for demonstration and further extension with real data.</w:t>
      </w:r>
    </w:p>
    <w:p>
      <w:pPr>
        <w:spacing w:before="60" w:after="20"/>
      </w:pPr>
      <w:r>
        <w:rPr>
          <w:b/>
          <w:sz w:val="22"/>
        </w:rPr>
        <w:t>7. Recommendation Output</w:t>
      </w:r>
    </w:p>
    <w:p>
      <w:pPr>
        <w:pStyle w:val="ListBullet"/>
        <w:spacing w:before="0" w:after="0" w:line="240" w:lineRule="auto"/>
      </w:pPr>
      <w:r>
        <w:rPr>
          <w:sz w:val="18"/>
        </w:rPr>
        <w:t>Low attendance triggers attendance mentoring.</w:t>
      </w:r>
    </w:p>
    <w:p>
      <w:pPr>
        <w:pStyle w:val="ListBullet"/>
        <w:spacing w:before="0" w:after="0" w:line="240" w:lineRule="auto"/>
      </w:pPr>
      <w:r>
        <w:rPr>
          <w:sz w:val="18"/>
        </w:rPr>
        <w:t>Weak internal exam score triggers remedial support.</w:t>
      </w:r>
    </w:p>
    <w:p>
      <w:pPr>
        <w:pStyle w:val="ListBullet"/>
        <w:spacing w:before="0" w:after="0" w:line="240" w:lineRule="auto"/>
      </w:pPr>
      <w:r>
        <w:rPr>
          <w:sz w:val="18"/>
        </w:rPr>
        <w:t>Low assignment or quiz scores trigger targeted academic guidance.</w:t>
      </w:r>
    </w:p>
    <w:p>
      <w:pPr>
        <w:pStyle w:val="ListBullet"/>
        <w:spacing w:before="0" w:after="0" w:line="240" w:lineRule="auto"/>
      </w:pPr>
      <w:r>
        <w:rPr>
          <w:sz w:val="18"/>
        </w:rPr>
        <w:t>Low study hours or LMS usage trigger engagement and planning recommendations.</w:t>
      </w:r>
    </w:p>
    <w:p>
      <w:pPr>
        <w:spacing w:before="60" w:after="20"/>
      </w:pPr>
      <w:r>
        <w:rPr>
          <w:b/>
          <w:sz w:val="22"/>
        </w:rPr>
        <w:t>8. Risk Visualization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3718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_distribu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37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rPr>
          <w:b/>
          <w:sz w:val="22"/>
        </w:rPr>
        <w:t>9. How To Run</w:t>
      </w:r>
    </w:p>
    <w:p>
      <w:pPr>
        <w:pStyle w:val="ListBullet"/>
        <w:spacing w:before="0" w:after="0" w:line="240" w:lineRule="auto"/>
      </w:pPr>
      <w:r>
        <w:rPr>
          <w:sz w:val="18"/>
        </w:rPr>
        <w:t>Use run_app.bat or run_app.ps1 for one-click launch.</w:t>
      </w:r>
    </w:p>
    <w:p>
      <w:pPr>
        <w:pStyle w:val="ListBullet"/>
        <w:spacing w:before="0" w:after="0" w:line="240" w:lineRule="auto"/>
      </w:pPr>
      <w:r>
        <w:rPr>
          <w:sz w:val="18"/>
        </w:rPr>
        <w:t>Manual flow: create .venv, install requirements, generate data, train model, run Streamlit.</w:t>
      </w:r>
    </w:p>
    <w:p>
      <w:pPr>
        <w:pStyle w:val="ListBullet"/>
        <w:spacing w:before="0" w:after="0" w:line="240" w:lineRule="auto"/>
      </w:pPr>
      <w:r>
        <w:rPr>
          <w:sz w:val="18"/>
        </w:rPr>
        <w:t>Dashboard features: metrics, charts, sample predictions, and live student prediction form.</w:t>
      </w:r>
    </w:p>
    <w:p>
      <w:pPr>
        <w:spacing w:before="60" w:after="20"/>
      </w:pPr>
      <w:r>
        <w:rPr>
          <w:b/>
          <w:sz w:val="22"/>
        </w:rPr>
        <w:t>10. Conclusion</w:t>
      </w:r>
    </w:p>
    <w:p>
      <w:pPr>
        <w:pStyle w:val="ListBullet"/>
        <w:spacing w:before="0" w:after="0" w:line="240" w:lineRule="auto"/>
      </w:pPr>
      <w:r>
        <w:rPr>
          <w:sz w:val="18"/>
        </w:rPr>
        <w:t>Random Forest is an appropriate choice because it is reliable, explainable, and effective on tabular educational data.</w:t>
      </w:r>
    </w:p>
    <w:p>
      <w:pPr>
        <w:pStyle w:val="ListBullet"/>
        <w:spacing w:before="0" w:after="0" w:line="240" w:lineRule="auto"/>
      </w:pPr>
      <w:r>
        <w:rPr>
          <w:sz w:val="18"/>
        </w:rPr>
        <w:t>The prototype combines prediction, analytics, and recommendations in a single dashboard.</w:t>
      </w:r>
    </w:p>
    <w:p>
      <w:pPr>
        <w:pStyle w:val="ListBullet"/>
        <w:spacing w:before="0" w:after="0" w:line="240" w:lineRule="auto"/>
      </w:pPr>
      <w:r>
        <w:rPr>
          <w:sz w:val="18"/>
        </w:rPr>
        <w:t>The next step is integration with real BIT Management System data.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