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6E6E73"/>
          <w:sz w:val="20"/>
        </w:rPr>
        <w:t>THE FINANCIAL HUB</w:t>
      </w:r>
    </w:p>
    <w:p>
      <w:pPr>
        <w:spacing w:after="80"/>
      </w:pPr>
      <w:r>
        <w:rPr>
          <w:b/>
          <w:sz w:val="44"/>
        </w:rPr>
        <w:t>Session Summary: What Was Added, and Backtest Shortcomings</w:t>
      </w:r>
    </w:p>
    <w:p>
      <w:pPr>
        <w:spacing w:after="200"/>
      </w:pPr>
      <w:r>
        <w:rPr>
          <w:i/>
          <w:color w:val="6E6E73"/>
          <w:sz w:val="20"/>
        </w:rPr>
        <w:t>Prepared by Armas · 28 July 2026</w:t>
      </w:r>
    </w:p>
    <w:p>
      <w:pPr>
        <w:pBdr>
          <w:bottom w:val="single" w:sz="6" w:space="1" w:color="D2D2D7"/>
        </w:pBdr>
        <w:spacing w:after="200"/>
      </w:pPr>
    </w:p>
    <w:p>
      <w:pPr>
        <w:pStyle w:val="Heading1"/>
        <w:spacing w:before="360" w:after="160"/>
      </w:pPr>
      <w:r>
        <w:t>What Was Added</w:t>
      </w:r>
    </w:p>
    <w:p>
      <w:pPr>
        <w:spacing w:after="160"/>
      </w:pPr>
      <w:r>
        <w:rPr>
          <w:b w:val="0"/>
          <w:i w:val="0"/>
        </w:rPr>
        <w:t xml:space="preserve">Three new Psychology-pillar signals: </w:t>
      </w:r>
    </w:p>
    <w:p>
      <w:pPr>
        <w:pStyle w:val="ListBullet"/>
        <w:spacing w:after="120"/>
      </w:pPr>
      <w:r>
        <w:rPr>
          <w:b/>
          <w:i w:val="0"/>
        </w:rPr>
        <w:t xml:space="preserve">HY Credit Spread (OAS) </w:t>
      </w:r>
      <w:r>
        <w:rPr>
          <w:b w:val="0"/>
          <w:i w:val="0"/>
        </w:rPr>
        <w:t>(FRED) — the bond market's priced fear, diversifying a pillar that was otherwise VIX-heavy.</w:t>
      </w:r>
    </w:p>
    <w:p>
      <w:pPr>
        <w:pStyle w:val="ListBullet"/>
        <w:spacing w:after="120"/>
      </w:pPr>
      <w:r>
        <w:rPr>
          <w:b/>
          <w:i w:val="0"/>
        </w:rPr>
        <w:t xml:space="preserve">SF Fed Daily News Sentiment </w:t>
      </w:r>
      <w:r>
        <w:rPr>
          <w:b w:val="0"/>
          <w:i w:val="0"/>
        </w:rPr>
        <w:t>(free CSV, frbsf.org) — a daily NLP sentiment score from major newspapers' economic coverage.</w:t>
      </w:r>
    </w:p>
    <w:p>
      <w:pPr>
        <w:pStyle w:val="ListBullet"/>
        <w:spacing w:after="120"/>
      </w:pPr>
      <w:r>
        <w:rPr>
          <w:b/>
          <w:i w:val="0"/>
        </w:rPr>
        <w:t xml:space="preserve">NAAIM Manager Exposure </w:t>
      </w:r>
      <w:r>
        <w:rPr>
          <w:b w:val="0"/>
          <w:i w:val="0"/>
        </w:rPr>
        <w:t>(scraped weekly, naaim.org) — active managers' real reported equity exposure, fixing AAII's costless-opinion weakness.</w:t>
      </w:r>
    </w:p>
    <w:p>
      <w:pPr>
        <w:spacing w:after="80"/>
      </w:pPr>
      <w:r>
        <w:rPr>
          <w:b w:val="0"/>
          <w:i w:val="0"/>
        </w:rPr>
        <w:t>Interface overhaul:</w:t>
      </w:r>
    </w:p>
    <w:p>
      <w:pPr>
        <w:pStyle w:val="ListBullet"/>
        <w:spacing w:after="120"/>
      </w:pPr>
      <w:r>
        <w:rPr>
          <w:b/>
          <w:i w:val="0"/>
        </w:rPr>
        <w:t xml:space="preserve">Hero number, first on screen: </w:t>
      </w:r>
      <w:r>
        <w:rPr>
          <w:b w:val="0"/>
          <w:i w:val="0"/>
        </w:rPr>
        <w:t>the psychology gap vs. fundamentals is now the largest element on the page, with the regime name/badge beside it.</w:t>
      </w:r>
    </w:p>
    <w:p>
      <w:pPr>
        <w:pStyle w:val="ListBullet"/>
        <w:spacing w:after="120"/>
      </w:pPr>
      <w:r>
        <w:rPr>
          <w:b/>
          <w:i w:val="0"/>
        </w:rPr>
        <w:t xml:space="preserve">Psychology-weight gauge: </w:t>
      </w:r>
      <w:r>
        <w:rPr>
          <w:b w:val="0"/>
          <w:i w:val="0"/>
        </w:rPr>
        <w:t>shows where in the adaptive 15–55% band psychology's influence currently sits.</w:t>
      </w:r>
    </w:p>
    <w:p>
      <w:pPr>
        <w:pStyle w:val="ListBullet"/>
        <w:spacing w:after="120"/>
      </w:pPr>
      <w:r>
        <w:rPr>
          <w:b/>
          <w:i w:val="0"/>
        </w:rPr>
        <w:t xml:space="preserve">Auto-generated “since yesterday” narrative, </w:t>
      </w:r>
      <w:r>
        <w:rPr>
          <w:b w:val="0"/>
          <w:i w:val="0"/>
        </w:rPr>
        <w:t xml:space="preserve">sparklines on every point-value metric, “explain this signal” tooltips, and progressive disclosure </w:t>
      </w:r>
      <w:r>
        <w:rPr>
          <w:b w:val="0"/>
          <w:i w:val="0"/>
        </w:rPr>
        <w:t>(pillar breakdown/full narrative/trend chart moved behind a collapsed toggle).</w:t>
      </w:r>
    </w:p>
    <w:p>
      <w:pPr>
        <w:spacing w:after="80"/>
      </w:pPr>
      <w:r>
        <w:rPr>
          <w:b w:val="0"/>
          <w:i w:val="0"/>
        </w:rPr>
        <w:t>New Backtesting tab (5th tab, alongside Finance/Economics/Psychology/Strategy):</w:t>
      </w:r>
    </w:p>
    <w:p>
      <w:pPr>
        <w:pStyle w:val="ListBullet"/>
        <w:spacing w:after="120"/>
      </w:pPr>
      <w:r>
        <w:rPr>
          <w:b/>
          <w:i w:val="0"/>
        </w:rPr>
        <w:t xml:space="preserve">Reconstructs the composite daily from 1999 to today </w:t>
      </w:r>
      <w:r>
        <w:rPr>
          <w:b w:val="0"/>
          <w:i w:val="0"/>
        </w:rPr>
        <w:t>using expanding-window, no-look-ahead statistics (replacing the live dashboard's fixed approximations) — tests whether an extreme psychology-vs-fundamentals gap predicts forward S&amp;P 500 returns, and whether the adaptive 15–55% weighting beats a static 35%.</w:t>
      </w:r>
    </w:p>
    <w:p>
      <w:pPr>
        <w:pStyle w:val="ListBullet"/>
        <w:spacing w:after="120"/>
      </w:pPr>
      <w:r>
        <w:rPr>
          <w:b/>
          <w:i w:val="0"/>
        </w:rPr>
        <w:t xml:space="preserve">Shows: </w:t>
      </w:r>
      <w:r>
        <w:rPr>
          <w:b w:val="0"/>
          <w:i w:val="0"/>
        </w:rPr>
        <w:t>a headline verdict badge, an SPY growth chart shaded by the regime the composite would have called historically, a forward-return-by-decile chart, and the full Newey-West regression table.</w:t>
      </w:r>
    </w:p>
    <w:p>
      <w:pPr>
        <w:pStyle w:val="ListBullet"/>
        <w:spacing w:after="120"/>
      </w:pPr>
      <w:r>
        <w:rPr>
          <w:b/>
          <w:i w:val="0"/>
        </w:rPr>
        <w:t xml:space="preserve">Headline finding: </w:t>
      </w:r>
      <w:r>
        <w:rPr>
          <w:b w:val="0"/>
          <w:i w:val="0"/>
        </w:rPr>
        <w:t>the 1-month-ahead regression is statistically significant for both the adaptive and fixed-weight composite (p = 0.030 and p = 0.036) — a modestly negative beta, meaning an unusually high composite reading has historically preceded below-average S&amp;P 500 returns over the following month (mild mean-reversion, not a rally-continuation signal). The 3- and 6-month horizons, and the psychology-vs-fundamentals gap specifically, are not significant at any horizon (2 of 9 total regressions clear p &lt; 0.05). The adaptive 15-55% weighting still does not show a clear advantage over a static 35% weight — both are about equally significant, so that part of the original finding stands. (See the 2026-08-09 correction note at the end of this document — this result changed from the originally reported null result after a scoring bug was fixed.)</w:t>
      </w:r>
    </w:p>
    <w:p>
      <w:pPr>
        <w:pStyle w:val="Heading1"/>
        <w:spacing w:before="360" w:after="160"/>
      </w:pPr>
      <w:r>
        <w:t>Backtest Shortcomings</w:t>
      </w:r>
    </w:p>
    <w:p>
      <w:pPr>
        <w:spacing w:after="160"/>
      </w:pPr>
      <w:r>
        <w:rPr>
          <w:b w:val="0"/>
          <w:i w:val="0"/>
        </w:rPr>
        <w:t>The validation study's limitations, in order of how much they matter:</w:t>
      </w:r>
    </w:p>
    <w:p>
      <w:pPr>
        <w:pStyle w:val="ListBullet"/>
        <w:spacing w:after="120"/>
      </w:pPr>
      <w:r>
        <w:rPr>
          <w:b/>
          <w:i w:val="0"/>
        </w:rPr>
        <w:t xml:space="preserve">ISM PMI has no free historical source anywhere. </w:t>
      </w:r>
      <w:r>
        <w:rPr>
          <w:b w:val="0"/>
          <w:i w:val="0"/>
        </w:rPr>
        <w:t>Neither FRED nor Trading Economics offers free historical access. The Economics pillar in this backtest therefore runs on only 2 of its usual 3 components (real policy rate and unemployment) for the entire window, and the cycle stage can never resolve to anything but “Unknown” historically — so the VIX cycle-stage adjustment (calm reading as more concerning late-cycle) never activates in the backtest, even though it does live.</w:t>
      </w:r>
    </w:p>
    <w:p>
      <w:pPr>
        <w:pStyle w:val="ListBullet"/>
        <w:spacing w:after="120"/>
      </w:pPr>
      <w:r>
        <w:rPr>
          <w:b/>
          <w:i w:val="0"/>
        </w:rPr>
        <w:t xml:space="preserve">HY OAS's free history only starts 2023-07-28. </w:t>
      </w:r>
      <w:r>
        <w:rPr>
          <w:b w:val="0"/>
          <w:i w:val="0"/>
        </w:rPr>
        <w:t>The credit-spread signal is effectively untested before that date.</w:t>
      </w:r>
    </w:p>
    <w:p>
      <w:pPr>
        <w:pStyle w:val="ListBullet"/>
        <w:spacing w:after="120"/>
      </w:pPr>
      <w:r>
        <w:rPr>
          <w:b/>
          <w:i w:val="0"/>
        </w:rPr>
        <w:t xml:space="preserve">Cboe's downloadable put/call archives stop at 2019-10-04. </w:t>
      </w:r>
      <w:r>
        <w:rPr>
          <w:b w:val="0"/>
          <w:i w:val="0"/>
        </w:rPr>
        <w:t>Despite the live scraper reading today's value fine, no free bulk file bridges 2019–2026, so put/call is excluded from that stretch.</w:t>
      </w:r>
    </w:p>
    <w:p>
      <w:pPr>
        <w:pStyle w:val="ListBullet"/>
        <w:spacing w:after="120"/>
      </w:pPr>
      <w:r>
        <w:rPr>
          <w:b/>
          <w:i w:val="0"/>
        </w:rPr>
        <w:t xml:space="preserve">The window is ~27 years (1999–2026), not 30. </w:t>
      </w:r>
      <w:r>
        <w:rPr>
          <w:b w:val="0"/>
          <w:i w:val="0"/>
        </w:rPr>
        <w:t>Bounded by the five sector ETFs' 1998-12-22 inception.</w:t>
      </w:r>
    </w:p>
    <w:p>
      <w:pPr>
        <w:pStyle w:val="ListBullet"/>
        <w:spacing w:after="120"/>
      </w:pPr>
      <w:r>
        <w:rPr>
          <w:b/>
          <w:i w:val="0"/>
        </w:rPr>
        <w:t xml:space="preserve">Monthly/weekly series use an assumed publication lag, </w:t>
      </w:r>
      <w:r>
        <w:rPr>
          <w:b w:val="0"/>
          <w:i w:val="0"/>
        </w:rPr>
        <w:t>not each series' real historical release calendar (CPI, unemployment, fed funds, consumer sentiment, AAII, NAAIM, S&amp;P 500 P/E).</w:t>
      </w:r>
    </w:p>
    <w:p>
      <w:pPr>
        <w:pStyle w:val="ListBullet"/>
        <w:spacing w:after="120"/>
      </w:pPr>
      <w:r>
        <w:rPr>
          <w:b/>
          <w:i w:val="0"/>
        </w:rPr>
        <w:t xml:space="preserve">CPI and unemployment use today's revised values throughout history, </w:t>
      </w:r>
      <w:r>
        <w:rPr>
          <w:b w:val="0"/>
          <w:i w:val="0"/>
        </w:rPr>
        <w:t>not the real-time-as-then vintages that would actually have been known on each date — a genuine, unresolved look-ahead source. Fixing this would require FRED's ALFRED vintage data.</w:t>
      </w:r>
    </w:p>
    <w:p>
      <w:pPr>
        <w:pStyle w:val="ListBullet"/>
        <w:spacing w:after="120"/>
      </w:pPr>
      <w:r>
        <w:rPr>
          <w:b/>
          <w:i w:val="0"/>
        </w:rPr>
        <w:t xml:space="preserve">Extreme-decile results are dominated by a handful of crisis episodes </w:t>
      </w:r>
      <w:r>
        <w:rPr>
          <w:b w:val="0"/>
          <w:i w:val="0"/>
        </w:rPr>
        <w:t>(2008, 2020, etc.), not many independent events — Newey-West errors correct for this in the regressions, but it's worth remembering when reading the decile chart.</w:t>
      </w:r>
    </w:p>
    <w:p>
      <w:pPr>
        <w:pStyle w:val="ListBullet"/>
        <w:spacing w:after="120"/>
      </w:pPr>
      <w:r>
        <w:rPr>
          <w:b/>
          <w:i w:val="0"/>
        </w:rPr>
        <w:t xml:space="preserve">This is a first-pass, inspectable study, not peer-reviewed or production-grade research </w:t>
      </w:r>
      <w:r>
        <w:rPr>
          <w:b w:val="0"/>
          <w:i w:val="0"/>
        </w:rPr>
        <w:t>— consistent with the project's own scope: genuinely useful, not academically rigorous.</w:t>
      </w:r>
    </w:p>
    <w:p>
      <w:pPr>
        <w:spacing w:after="80"/>
      </w:pPr>
      <w:r>
        <w:rPr>
          <w:b w:val="0"/>
          <w:i w:val="0"/>
        </w:rPr>
        <w:t>Full regression table and methodology detail live on the site's Backtesting tab; raw data and analysis scripts are in the project repository (scripts/backtest.py, data/backtest_results.json).</w:t>
      </w:r>
    </w:p>
    <w:p>
      <w:pPr>
        <w:pStyle w:val="Heading1"/>
      </w:pPr>
      <w:r>
        <w:t>2026-08-09 Correction: Finance Pillar Scoring Bug Fixed</w:t>
      </w:r>
    </w:p>
    <w:p>
      <w:r>
        <w:t>A real scoring bug was found and fixed after this report was originally shared: the Finance pillar's valuation and yield-curve components used fixed reference points instead of the z-score standardization method used everywhere else in the model (every Psychology proxy). This mattered a lot more than it sounds.</w:t>
      </w:r>
    </w:p>
    <w:p>
      <w:pPr>
        <w:pStyle w:val="ListBullet"/>
      </w:pPr>
      <w:r>
        <w:rPr>
          <w:b/>
        </w:rPr>
        <w:t xml:space="preserve">Valuation: </w:t>
      </w:r>
      <w:r>
        <w:t>compared today's S&amp;P 500 P/E against the market's average P/E since 1871 (16.5x) — but the entire era this project's data covers (1999-present) has structurally traded much richer (median ~23x). Against that stale anchor, the valuation component was pinned at its worst possible reading on about 1 in 3 trading days since 1999, almost regardless of actual conditions.</w:t>
      </w:r>
    </w:p>
    <w:p>
      <w:pPr>
        <w:pStyle w:val="ListBullet"/>
      </w:pPr>
      <w:r>
        <w:rPr>
          <w:b/>
        </w:rPr>
        <w:t xml:space="preserve">Yield curve: </w:t>
      </w:r>
      <w:r>
        <w:t>used a fixed +/-1.5 percentage-point clamp, but the curve has averaged roughly +1.0pp historically and is inverted only ~15% of the time — so this component was pinned at its best possible reading on about 1 in 3 days, for the same reason in reverse.</w:t>
      </w:r>
    </w:p>
    <w:p>
      <w:r>
        <w:t>Together these skewed the whole composite persistently positive. Measured against the full 1999-2026 backtest: Risk-On fired on 29% of trading days but Risk-Off on only 2.7% — and during the entire 2022 bear market (S&amp;P down ~25% peak-to-trough) the composite never once read Risk-Off. Fixed by z-scoring both components against their own 1999-present mean/std (earnings yield instead of raw P/E, since raw P/E spikes to nonsensical triple digits when earnings collapse near zero, as in 2008-09) — the same method already used for every Psychology signal. After the fix, Risk-On/Risk-Off fire on a much more balanced 6.9%/4.5% of days, and both the 2022 bear market (54% Risk-Off days within the window) and the 2020 COVID crash (44% Risk-Off, up from 10% before the fix) are now correctly captured. This also changed the item-4 backtest's headline finding, updated above.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