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6E6E73"/>
          <w:sz w:val="20"/>
        </w:rPr>
        <w:t>THE NORTH STAR</w:t>
      </w:r>
    </w:p>
    <w:p>
      <w:pPr>
        <w:spacing w:after="80"/>
      </w:pPr>
      <w:r>
        <w:rPr>
          <w:b/>
          <w:sz w:val="44"/>
        </w:rPr>
        <w:t>Session Update: New Signals, Interface Changes, and Backtest Findings</w:t>
      </w:r>
    </w:p>
    <w:p>
      <w:pPr>
        <w:spacing w:after="200"/>
      </w:pPr>
      <w:r>
        <w:rPr>
          <w:i/>
          <w:color w:val="6E6E73"/>
          <w:sz w:val="20"/>
        </w:rPr>
        <w:t>Prepared by Armas · 27 July 2026 · In response to Will's discussion memo, “Items to Discuss — If and How to Implement” (23 July 2026)</w:t>
      </w:r>
    </w:p>
    <w:p>
      <w:pPr>
        <w:pBdr>
          <w:bottom w:val="single" w:sz="6" w:space="1" w:color="D2D2D7"/>
        </w:pBdr>
        <w:spacing w:after="200"/>
      </w:pPr>
    </w:p>
    <w:p>
      <w:pPr>
        <w:pStyle w:val="Heading1"/>
        <w:spacing w:before="360" w:after="160"/>
      </w:pPr>
      <w:r>
        <w:t>Overview</w:t>
      </w:r>
    </w:p>
    <w:p>
      <w:pPr>
        <w:spacing w:after="160"/>
      </w:pPr>
      <w:r>
        <w:rPr>
          <w:b w:val="0"/>
          <w:i w:val="0"/>
        </w:rPr>
        <w:t>This document summarizes everything added to The North Star dashboard in this session, in response to Will's 23 July 2026 discussion memo. Item 1 (prediction markets) was intentionally left out per direct instruction. Items 3 and 5 are built and live. Item 4 — the historical validation study — was scoped, built, and run; its results and, more importantly, its real limitations are the main subject of this document.</w:t>
      </w:r>
    </w:p>
    <w:p>
      <w:pPr>
        <w:spacing w:after="160"/>
      </w:pPr>
      <w:r>
        <w:rPr>
          <w:b w:val="0"/>
          <w:i w:val="0"/>
        </w:rPr>
        <w:t>Item 2 (target audience) was not answered directly when asked, so “teaching” — Will's own stated leading candidate — was used as a working assumption where a decision was needed (specifically, the “explain this signal” tooltip layer in item 5). This is a working assumption, not a confirmed decision — see the open questions at the end of this document.</w:t>
      </w:r>
    </w:p>
    <w:p>
      <w:pPr>
        <w:pStyle w:val="Heading1"/>
        <w:spacing w:before="360" w:after="160"/>
      </w:pPr>
      <w:r>
        <w:t>What Was Added: New Signals (Item 3)</w:t>
      </w:r>
    </w:p>
    <w:p>
      <w:pPr>
        <w:spacing w:after="160"/>
      </w:pPr>
      <w:r>
        <w:rPr>
          <w:b w:val="0"/>
          <w:i w:val="0"/>
        </w:rPr>
        <w:t>Three new Psychology-pillar signals were added, each chosen for being genuinely free with no scraping fragility where a free-API path existed:</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1872"/>
            <w:shd w:val="clear" w:fill="F5F5F7"/>
          </w:tcPr>
          <w:p>
            <w:r>
              <w:rPr>
                <w:b/>
                <w:sz w:val="19"/>
              </w:rPr>
              <w:t>Signal</w:t>
            </w:r>
          </w:p>
        </w:tc>
        <w:tc>
          <w:tcPr>
            <w:tcW w:type="dxa" w:w="2160"/>
            <w:shd w:val="clear" w:fill="F5F5F7"/>
          </w:tcPr>
          <w:p>
            <w:r>
              <w:rPr>
                <w:b/>
                <w:sz w:val="19"/>
              </w:rPr>
              <w:t>Source</w:t>
            </w:r>
          </w:p>
        </w:tc>
        <w:tc>
          <w:tcPr>
            <w:tcW w:type="dxa" w:w="3024"/>
            <w:shd w:val="clear" w:fill="F5F5F7"/>
          </w:tcPr>
          <w:p>
            <w:r>
              <w:rPr>
                <w:b/>
                <w:sz w:val="19"/>
              </w:rPr>
              <w:t>What it measures</w:t>
            </w:r>
          </w:p>
        </w:tc>
        <w:tc>
          <w:tcPr>
            <w:tcW w:type="dxa" w:w="2736"/>
            <w:shd w:val="clear" w:fill="F5F5F7"/>
          </w:tcPr>
          <w:p>
            <w:r>
              <w:rPr>
                <w:b/>
                <w:sz w:val="19"/>
              </w:rPr>
              <w:t>Why it was added</w:t>
            </w:r>
          </w:p>
        </w:tc>
      </w:tr>
      <w:tr>
        <w:tc>
          <w:tcPr>
            <w:tcW w:type="dxa" w:w="1872"/>
          </w:tcPr>
          <w:p>
            <w:r>
              <w:rPr>
                <w:sz w:val="19"/>
              </w:rPr>
              <w:t>HY Credit Spread (OAS)</w:t>
            </w:r>
          </w:p>
        </w:tc>
        <w:tc>
          <w:tcPr>
            <w:tcW w:type="dxa" w:w="2160"/>
          </w:tcPr>
          <w:p>
            <w:r>
              <w:rPr>
                <w:sz w:val="19"/>
              </w:rPr>
              <w:t>FRED, series BAMLH0A0HYM2</w:t>
            </w:r>
          </w:p>
        </w:tc>
        <w:tc>
          <w:tcPr>
            <w:tcW w:type="dxa" w:w="3024"/>
          </w:tcPr>
          <w:p>
            <w:r>
              <w:rPr>
                <w:sz w:val="19"/>
              </w:rPr>
              <w:t>Extra yield demanded on high-yield (“junk”) bonds over Treasuries</w:t>
            </w:r>
          </w:p>
        </w:tc>
        <w:tc>
          <w:tcPr>
            <w:tcW w:type="dxa" w:w="2736"/>
          </w:tcPr>
          <w:p>
            <w:r>
              <w:rPr>
                <w:sz w:val="19"/>
              </w:rPr>
              <w:t>The bond market's priced fear — diversifies a pillar that was otherwise VIX-heavy (equity-vol only)</w:t>
            </w:r>
          </w:p>
        </w:tc>
      </w:tr>
      <w:tr>
        <w:tc>
          <w:tcPr>
            <w:tcW w:type="dxa" w:w="1872"/>
          </w:tcPr>
          <w:p>
            <w:r>
              <w:rPr>
                <w:sz w:val="19"/>
              </w:rPr>
              <w:t>SF Fed Daily News Sentiment</w:t>
            </w:r>
          </w:p>
        </w:tc>
        <w:tc>
          <w:tcPr>
            <w:tcW w:type="dxa" w:w="2160"/>
          </w:tcPr>
          <w:p>
            <w:r>
              <w:rPr>
                <w:sz w:val="19"/>
              </w:rPr>
              <w:t>Free CSV, frbsf.org (no auth)</w:t>
            </w:r>
          </w:p>
        </w:tc>
        <w:tc>
          <w:tcPr>
            <w:tcW w:type="dxa" w:w="3024"/>
          </w:tcPr>
          <w:p>
            <w:r>
              <w:rPr>
                <w:sz w:val="19"/>
              </w:rPr>
              <w:t>Daily NLP sentiment score built from major newspapers' economic coverage</w:t>
            </w:r>
          </w:p>
        </w:tc>
        <w:tc>
          <w:tcPr>
            <w:tcW w:type="dxa" w:w="2736"/>
          </w:tcPr>
          <w:p>
            <w:r>
              <w:rPr>
                <w:sz w:val="19"/>
              </w:rPr>
              <w:t>A free media-sentiment channel with zero scraping fragility and full history back to 1980</w:t>
            </w:r>
          </w:p>
        </w:tc>
      </w:tr>
      <w:tr>
        <w:tc>
          <w:tcPr>
            <w:tcW w:type="dxa" w:w="1872"/>
          </w:tcPr>
          <w:p>
            <w:r>
              <w:rPr>
                <w:sz w:val="19"/>
              </w:rPr>
              <w:t>NAAIM Manager Exposure</w:t>
            </w:r>
          </w:p>
        </w:tc>
        <w:tc>
          <w:tcPr>
            <w:tcW w:type="dxa" w:w="2160"/>
          </w:tcPr>
          <w:p>
            <w:r>
              <w:rPr>
                <w:sz w:val="19"/>
              </w:rPr>
              <w:t>Scraped weekly, naaim.org</w:t>
            </w:r>
          </w:p>
        </w:tc>
        <w:tc>
          <w:tcPr>
            <w:tcW w:type="dxa" w:w="3024"/>
          </w:tcPr>
          <w:p>
            <w:r>
              <w:rPr>
                <w:sz w:val="19"/>
              </w:rPr>
              <w:t>Active managers' self-reported average equity exposure, −200% to +200%</w:t>
            </w:r>
          </w:p>
        </w:tc>
        <w:tc>
          <w:tcPr>
            <w:tcW w:type="dxa" w:w="2736"/>
          </w:tcPr>
          <w:p>
            <w:r>
              <w:rPr>
                <w:sz w:val="19"/>
              </w:rPr>
              <w:t>Real reported positioning, not costless stated opinion — fixes a weakness AAII has as a proxy</w:t>
            </w:r>
          </w:p>
        </w:tc>
      </w:tr>
    </w:tbl>
    <w:p>
      <w:pPr>
        <w:spacing w:after="80"/>
      </w:pPr>
    </w:p>
    <w:p>
      <w:pPr>
        <w:spacing w:after="160"/>
      </w:pPr>
      <w:r>
        <w:rPr>
          <w:b w:val="0"/>
          <w:i/>
        </w:rPr>
        <w:t>Damodaran's implied equity risk premium (also suggested in item 3) was evaluated but not implemented — its only free source is a legacy .xls format that needs a second parsing library (xlrd) for a single monthly figure. Parked as a future option, not ruled out.</w:t>
      </w:r>
    </w:p>
    <w:p>
      <w:pPr>
        <w:pStyle w:val="Heading1"/>
        <w:spacing w:before="360" w:after="160"/>
      </w:pPr>
      <w:r>
        <w:t>What Was Added: Interface Improvements (Item 5)</w:t>
      </w:r>
    </w:p>
    <w:p>
      <w:pPr>
        <w:pStyle w:val="ListBullet"/>
        <w:spacing w:after="120"/>
      </w:pPr>
      <w:r>
        <w:rPr>
          <w:b/>
          <w:i w:val="0"/>
        </w:rPr>
        <w:t xml:space="preserve">Hero number, first on screen: </w:t>
      </w:r>
      <w:r>
        <w:rPr>
          <w:b w:val="0"/>
          <w:i w:val="0"/>
        </w:rPr>
        <w:t>the psychology gap (vs. the fundamentals-only baseline) is now the largest element on the page, with the regime name and badge directly beside it — replacing a layout where the regime name led and the gap was one chip among several.</w:t>
      </w:r>
    </w:p>
    <w:p>
      <w:pPr>
        <w:pStyle w:val="ListBullet"/>
        <w:spacing w:after="120"/>
      </w:pPr>
      <w:r>
        <w:rPr>
          <w:b/>
          <w:i w:val="0"/>
        </w:rPr>
        <w:t xml:space="preserve">Psychology-weight gauge: </w:t>
      </w:r>
      <w:r>
        <w:rPr>
          <w:b w:val="0"/>
          <w:i w:val="0"/>
        </w:rPr>
        <w:t>a dedicated visual showing where in the adaptive 15–55% band psychology's current influence sits — making the dashboard's signature mechanism visible instead of only described in prose.</w:t>
      </w:r>
    </w:p>
    <w:p>
      <w:pPr>
        <w:pStyle w:val="ListBullet"/>
        <w:spacing w:after="120"/>
      </w:pPr>
      <w:r>
        <w:rPr>
          <w:b/>
          <w:i w:val="0"/>
        </w:rPr>
        <w:t xml:space="preserve">Auto-generated “since yesterday” narrative: </w:t>
      </w:r>
      <w:r>
        <w:rPr>
          <w:b w:val="0"/>
          <w:i w:val="0"/>
        </w:rPr>
        <w:t>a plain-English sentence built from the day-over-day diffs, not just colored chips.</w:t>
      </w:r>
    </w:p>
    <w:p>
      <w:pPr>
        <w:pStyle w:val="ListBullet"/>
        <w:spacing w:after="120"/>
      </w:pPr>
      <w:r>
        <w:rPr>
          <w:b/>
          <w:i w:val="0"/>
        </w:rPr>
        <w:t xml:space="preserve">Sparklines everywhere: </w:t>
      </w:r>
      <w:r>
        <w:rPr>
          <w:b w:val="0"/>
          <w:i w:val="0"/>
        </w:rPr>
        <w:t>every point-value metric with 2+ days of real history now gets a trend line — S&amp;P 500 P/E, put/call ratio, AAII bull-bear spread, CPI, unemployment, and fed funds rate were previously shown as numbers only.</w:t>
      </w:r>
    </w:p>
    <w:p>
      <w:pPr>
        <w:pStyle w:val="ListBullet"/>
        <w:spacing w:after="120"/>
      </w:pPr>
      <w:r>
        <w:rPr>
          <w:b/>
          <w:i w:val="0"/>
        </w:rPr>
        <w:t xml:space="preserve">“Explain this signal” tooltips: </w:t>
      </w:r>
      <w:r>
        <w:rPr>
          <w:b w:val="0"/>
          <w:i w:val="0"/>
        </w:rPr>
        <w:t>hovering any metric tile explains what it measures and why it matters — the teaching-oriented layer from item 2.</w:t>
      </w:r>
    </w:p>
    <w:p>
      <w:pPr>
        <w:pStyle w:val="ListBullet"/>
        <w:spacing w:after="120"/>
      </w:pPr>
      <w:r>
        <w:rPr>
          <w:b/>
          <w:i w:val="0"/>
        </w:rPr>
        <w:t xml:space="preserve">Progressive disclosure: </w:t>
      </w:r>
      <w:r>
        <w:rPr>
          <w:b w:val="0"/>
          <w:i w:val="0"/>
        </w:rPr>
        <w:t>the pillar-score breakdown, full narrative paragraphs, and the composite trend chart are now tucked behind a collapsed “Full breakdown” toggle, so the page leads with the headline number instead of a wall of detail.</w:t>
      </w:r>
    </w:p>
    <w:p>
      <w:pPr>
        <w:pStyle w:val="Heading1"/>
        <w:spacing w:before="360" w:after="160"/>
      </w:pPr>
      <w:r>
        <w:t>Item 4: Historical Validation Study</w:t>
      </w:r>
    </w:p>
    <w:p>
      <w:pPr>
        <w:pStyle w:val="Heading2"/>
        <w:spacing w:before="240" w:after="120"/>
      </w:pPr>
      <w:r>
        <w:t>Methodology</w:t>
      </w:r>
    </w:p>
    <w:p>
      <w:pPr>
        <w:spacing w:after="160"/>
      </w:pPr>
      <w:r>
        <w:rPr>
          <w:b w:val="0"/>
          <w:i w:val="0"/>
        </w:rPr>
        <w:t>The composite score was reconstructed on a daily basis from 1999-01-04 to today — bounded by the five sector ETFs' 1998-12-22 inception, since the Finance pillar's breadth component depends on all five. Each Psychology proxy (VIX, put/call, AAII spread, consumer sentiment, HY OAS, news sentiment, NAAIM) is standardized against an expanding-window mean/std computed only from that proxy's own prior history (strictly no look-ahead), replacing the fixed approximate constants the live daily pipeline uses — exactly the fix Will's memo asked for. The Finance and Economics pillars reuse the same fixed-anchor formulas as the live pipeline (fed into historical inputs), except the S&amp;P 500 P/E valuation reference, which was also switched to an expanding-window mean given decades of real P/E history exist for that purpose.</w:t>
      </w:r>
    </w:p>
    <w:p>
      <w:pPr>
        <w:spacing w:after="160"/>
      </w:pPr>
      <w:r>
        <w:rPr>
          <w:b w:val="0"/>
          <w:i w:val="0"/>
        </w:rPr>
        <w:t>Two composite variants were built for every date: the live adaptive-weight version (psychology's influence floats 15–55% based on how extreme it is) and a static-35%-weight version, to directly test Will's question — does the adaptive float actually add value over a fixed weight? Forward S&amp;P 500 returns (1, 3, and 6 months) were computed at every date, and Newey-West (HAC) standard errors were used for the regressions to correctly account for the serial correlation that overlapping return windows produce.</w:t>
      </w:r>
    </w:p>
    <w:p>
      <w:pPr>
        <w:pStyle w:val="Heading2"/>
        <w:spacing w:before="240" w:after="120"/>
      </w:pPr>
      <w:r>
        <w:t>Key Results</w:t>
      </w:r>
    </w:p>
    <w:p>
      <w:pPr>
        <w:spacing w:after="160"/>
      </w:pPr>
      <w:r>
        <w:rPr>
          <w:b w:val="0"/>
          <w:i w:val="0"/>
        </w:rPr>
        <w:t>Newey-West regressions of forward S&amp;P 500 returns on the psychology gap (composite minus fundamentals baseline) and on each composite variant, at three horizons:</w:t>
      </w:r>
    </w:p>
    <w:tbl>
      <w:tblPr>
        <w:tblStyle w:val="TableGrid"/>
        <w:tblW w:type="auto" w:w="0"/>
        <w:jc w:val="left"/>
        <w:tblLook w:firstColumn="1" w:firstRow="1" w:lastColumn="0" w:lastRow="0" w:noHBand="0" w:noVBand="1" w:val="04A0"/>
      </w:tblPr>
      <w:tblGrid>
        <w:gridCol w:w="1608"/>
        <w:gridCol w:w="1608"/>
        <w:gridCol w:w="1608"/>
        <w:gridCol w:w="1608"/>
        <w:gridCol w:w="1608"/>
        <w:gridCol w:w="1608"/>
      </w:tblGrid>
      <w:tr>
        <w:tc>
          <w:tcPr>
            <w:tcW w:type="dxa" w:w="1296"/>
            <w:shd w:val="clear" w:fill="F5F5F7"/>
          </w:tcPr>
          <w:p>
            <w:r>
              <w:rPr>
                <w:b/>
                <w:sz w:val="19"/>
              </w:rPr>
              <w:t>Horizon</w:t>
            </w:r>
          </w:p>
        </w:tc>
        <w:tc>
          <w:tcPr>
            <w:tcW w:type="dxa" w:w="2448"/>
            <w:shd w:val="clear" w:fill="F5F5F7"/>
          </w:tcPr>
          <w:p>
            <w:r>
              <w:rPr>
                <w:b/>
                <w:sz w:val="19"/>
              </w:rPr>
              <w:t>Signal</w:t>
            </w:r>
          </w:p>
        </w:tc>
        <w:tc>
          <w:tcPr>
            <w:tcW w:type="dxa" w:w="1440"/>
            <w:shd w:val="clear" w:fill="F5F5F7"/>
          </w:tcPr>
          <w:p>
            <w:r>
              <w:rPr>
                <w:b/>
                <w:sz w:val="19"/>
              </w:rPr>
              <w:t>β (coef.)</w:t>
            </w:r>
          </w:p>
        </w:tc>
        <w:tc>
          <w:tcPr>
            <w:tcW w:type="dxa" w:w="1152"/>
            <w:shd w:val="clear" w:fill="F5F5F7"/>
          </w:tcPr>
          <w:p>
            <w:r>
              <w:rPr>
                <w:b/>
                <w:sz w:val="19"/>
              </w:rPr>
              <w:t>t-stat</w:t>
            </w:r>
          </w:p>
        </w:tc>
        <w:tc>
          <w:tcPr>
            <w:tcW w:type="dxa" w:w="1152"/>
            <w:shd w:val="clear" w:fill="F5F5F7"/>
          </w:tcPr>
          <w:p>
            <w:r>
              <w:rPr>
                <w:b/>
                <w:sz w:val="19"/>
              </w:rPr>
              <w:t>p-value</w:t>
            </w:r>
          </w:p>
        </w:tc>
        <w:tc>
          <w:tcPr>
            <w:tcW w:type="dxa" w:w="1008"/>
            <w:shd w:val="clear" w:fill="F5F5F7"/>
          </w:tcPr>
          <w:p>
            <w:r>
              <w:rPr>
                <w:b/>
                <w:sz w:val="19"/>
              </w:rPr>
              <w:t>R²</w:t>
            </w:r>
          </w:p>
        </w:tc>
      </w:tr>
      <w:tr>
        <w:tc>
          <w:tcPr>
            <w:tcW w:type="dxa" w:w="1296"/>
          </w:tcPr>
          <w:p>
            <w:r>
              <w:rPr>
                <w:sz w:val="19"/>
              </w:rPr>
              <w:t>1 month</w:t>
            </w:r>
          </w:p>
        </w:tc>
        <w:tc>
          <w:tcPr>
            <w:tcW w:type="dxa" w:w="2448"/>
          </w:tcPr>
          <w:p>
            <w:r>
              <w:rPr>
                <w:sz w:val="19"/>
              </w:rPr>
              <w:t>Gap</w:t>
            </w:r>
          </w:p>
        </w:tc>
        <w:tc>
          <w:tcPr>
            <w:tcW w:type="dxa" w:w="1440"/>
          </w:tcPr>
          <w:p>
            <w:r>
              <w:rPr>
                <w:sz w:val="19"/>
              </w:rPr>
              <w:t>-0.0156</w:t>
            </w:r>
          </w:p>
        </w:tc>
        <w:tc>
          <w:tcPr>
            <w:tcW w:type="dxa" w:w="1152"/>
          </w:tcPr>
          <w:p>
            <w:r>
              <w:rPr>
                <w:sz w:val="19"/>
              </w:rPr>
              <w:t>-0.60</w:t>
            </w:r>
          </w:p>
        </w:tc>
        <w:tc>
          <w:tcPr>
            <w:tcW w:type="dxa" w:w="1152"/>
          </w:tcPr>
          <w:p>
            <w:r>
              <w:rPr>
                <w:sz w:val="19"/>
              </w:rPr>
              <w:t>0.548</w:t>
            </w:r>
          </w:p>
        </w:tc>
        <w:tc>
          <w:tcPr>
            <w:tcW w:type="dxa" w:w="1008"/>
          </w:tcPr>
          <w:p>
            <w:r>
              <w:rPr>
                <w:sz w:val="19"/>
              </w:rPr>
              <w:t>0.001</w:t>
            </w:r>
          </w:p>
        </w:tc>
      </w:tr>
      <w:tr>
        <w:tc>
          <w:tcPr>
            <w:tcW w:type="dxa" w:w="1296"/>
          </w:tcPr>
          <w:p>
            <w:r>
              <w:rPr>
                <w:sz w:val="19"/>
              </w:rPr>
              <w:t>1 month</w:t>
            </w:r>
          </w:p>
        </w:tc>
        <w:tc>
          <w:tcPr>
            <w:tcW w:type="dxa" w:w="2448"/>
          </w:tcPr>
          <w:p>
            <w:r>
              <w:rPr>
                <w:sz w:val="19"/>
              </w:rPr>
              <w:t>Adaptive composite</w:t>
            </w:r>
          </w:p>
        </w:tc>
        <w:tc>
          <w:tcPr>
            <w:tcW w:type="dxa" w:w="1440"/>
          </w:tcPr>
          <w:p>
            <w:r>
              <w:rPr>
                <w:sz w:val="19"/>
              </w:rPr>
              <w:t>-0.0177</w:t>
            </w:r>
          </w:p>
        </w:tc>
        <w:tc>
          <w:tcPr>
            <w:tcW w:type="dxa" w:w="1152"/>
          </w:tcPr>
          <w:p>
            <w:r>
              <w:rPr>
                <w:sz w:val="19"/>
              </w:rPr>
              <w:t>-1.56</w:t>
            </w:r>
          </w:p>
        </w:tc>
        <w:tc>
          <w:tcPr>
            <w:tcW w:type="dxa" w:w="1152"/>
          </w:tcPr>
          <w:p>
            <w:r>
              <w:rPr>
                <w:sz w:val="19"/>
              </w:rPr>
              <w:t>0.119</w:t>
            </w:r>
          </w:p>
        </w:tc>
        <w:tc>
          <w:tcPr>
            <w:tcW w:type="dxa" w:w="1008"/>
          </w:tcPr>
          <w:p>
            <w:r>
              <w:rPr>
                <w:sz w:val="19"/>
              </w:rPr>
              <w:t>0.007</w:t>
            </w:r>
          </w:p>
        </w:tc>
      </w:tr>
      <w:tr>
        <w:tc>
          <w:tcPr>
            <w:tcW w:type="dxa" w:w="1296"/>
          </w:tcPr>
          <w:p>
            <w:r>
              <w:rPr>
                <w:sz w:val="19"/>
              </w:rPr>
              <w:t>1 month</w:t>
            </w:r>
          </w:p>
        </w:tc>
        <w:tc>
          <w:tcPr>
            <w:tcW w:type="dxa" w:w="2448"/>
          </w:tcPr>
          <w:p>
            <w:r>
              <w:rPr>
                <w:sz w:val="19"/>
              </w:rPr>
              <w:t>Fixed 35% composite</w:t>
            </w:r>
          </w:p>
        </w:tc>
        <w:tc>
          <w:tcPr>
            <w:tcW w:type="dxa" w:w="1440"/>
          </w:tcPr>
          <w:p>
            <w:r>
              <w:rPr>
                <w:sz w:val="19"/>
              </w:rPr>
              <w:t>-0.0193</w:t>
            </w:r>
          </w:p>
        </w:tc>
        <w:tc>
          <w:tcPr>
            <w:tcW w:type="dxa" w:w="1152"/>
          </w:tcPr>
          <w:p>
            <w:r>
              <w:rPr>
                <w:sz w:val="19"/>
              </w:rPr>
              <w:t>-1.57</w:t>
            </w:r>
          </w:p>
        </w:tc>
        <w:tc>
          <w:tcPr>
            <w:tcW w:type="dxa" w:w="1152"/>
          </w:tcPr>
          <w:p>
            <w:r>
              <w:rPr>
                <w:sz w:val="19"/>
              </w:rPr>
              <w:t>0.117</w:t>
            </w:r>
          </w:p>
        </w:tc>
        <w:tc>
          <w:tcPr>
            <w:tcW w:type="dxa" w:w="1008"/>
          </w:tcPr>
          <w:p>
            <w:r>
              <w:rPr>
                <w:sz w:val="19"/>
              </w:rPr>
              <w:t>0.007</w:t>
            </w:r>
          </w:p>
        </w:tc>
      </w:tr>
      <w:tr>
        <w:tc>
          <w:tcPr>
            <w:tcW w:type="dxa" w:w="1296"/>
          </w:tcPr>
          <w:p>
            <w:r>
              <w:rPr>
                <w:sz w:val="19"/>
              </w:rPr>
              <w:t>3 months</w:t>
            </w:r>
          </w:p>
        </w:tc>
        <w:tc>
          <w:tcPr>
            <w:tcW w:type="dxa" w:w="2448"/>
          </w:tcPr>
          <w:p>
            <w:r>
              <w:rPr>
                <w:sz w:val="19"/>
              </w:rPr>
              <w:t>Gap</w:t>
            </w:r>
          </w:p>
        </w:tc>
        <w:tc>
          <w:tcPr>
            <w:tcW w:type="dxa" w:w="1440"/>
          </w:tcPr>
          <w:p>
            <w:r>
              <w:rPr>
                <w:sz w:val="19"/>
              </w:rPr>
              <w:t>0.0164</w:t>
            </w:r>
          </w:p>
        </w:tc>
        <w:tc>
          <w:tcPr>
            <w:tcW w:type="dxa" w:w="1152"/>
          </w:tcPr>
          <w:p>
            <w:r>
              <w:rPr>
                <w:sz w:val="19"/>
              </w:rPr>
              <w:t>0.23</w:t>
            </w:r>
          </w:p>
        </w:tc>
        <w:tc>
          <w:tcPr>
            <w:tcW w:type="dxa" w:w="1152"/>
          </w:tcPr>
          <w:p>
            <w:r>
              <w:rPr>
                <w:sz w:val="19"/>
              </w:rPr>
              <w:t>0.819</w:t>
            </w:r>
          </w:p>
        </w:tc>
        <w:tc>
          <w:tcPr>
            <w:tcW w:type="dxa" w:w="1008"/>
          </w:tcPr>
          <w:p>
            <w:r>
              <w:rPr>
                <w:sz w:val="19"/>
              </w:rPr>
              <w:t>0.001</w:t>
            </w:r>
          </w:p>
        </w:tc>
      </w:tr>
      <w:tr>
        <w:tc>
          <w:tcPr>
            <w:tcW w:type="dxa" w:w="1296"/>
          </w:tcPr>
          <w:p>
            <w:r>
              <w:rPr>
                <w:sz w:val="19"/>
              </w:rPr>
              <w:t>3 months</w:t>
            </w:r>
          </w:p>
        </w:tc>
        <w:tc>
          <w:tcPr>
            <w:tcW w:type="dxa" w:w="2448"/>
          </w:tcPr>
          <w:p>
            <w:r>
              <w:rPr>
                <w:sz w:val="19"/>
              </w:rPr>
              <w:t>Adaptive composite</w:t>
            </w:r>
          </w:p>
        </w:tc>
        <w:tc>
          <w:tcPr>
            <w:tcW w:type="dxa" w:w="1440"/>
          </w:tcPr>
          <w:p>
            <w:r>
              <w:rPr>
                <w:sz w:val="19"/>
              </w:rPr>
              <w:t>-0.0216</w:t>
            </w:r>
          </w:p>
        </w:tc>
        <w:tc>
          <w:tcPr>
            <w:tcW w:type="dxa" w:w="1152"/>
          </w:tcPr>
          <w:p>
            <w:r>
              <w:rPr>
                <w:sz w:val="19"/>
              </w:rPr>
              <w:t>-0.73</w:t>
            </w:r>
          </w:p>
        </w:tc>
        <w:tc>
          <w:tcPr>
            <w:tcW w:type="dxa" w:w="1152"/>
          </w:tcPr>
          <w:p>
            <w:r>
              <w:rPr>
                <w:sz w:val="19"/>
              </w:rPr>
              <w:t>0.465</w:t>
            </w:r>
          </w:p>
        </w:tc>
        <w:tc>
          <w:tcPr>
            <w:tcW w:type="dxa" w:w="1008"/>
          </w:tcPr>
          <w:p>
            <w:r>
              <w:rPr>
                <w:sz w:val="19"/>
              </w:rPr>
              <w:t>0.004</w:t>
            </w:r>
          </w:p>
        </w:tc>
      </w:tr>
      <w:tr>
        <w:tc>
          <w:tcPr>
            <w:tcW w:type="dxa" w:w="1296"/>
          </w:tcPr>
          <w:p>
            <w:r>
              <w:rPr>
                <w:sz w:val="19"/>
              </w:rPr>
              <w:t>3 months</w:t>
            </w:r>
          </w:p>
        </w:tc>
        <w:tc>
          <w:tcPr>
            <w:tcW w:type="dxa" w:w="2448"/>
          </w:tcPr>
          <w:p>
            <w:r>
              <w:rPr>
                <w:sz w:val="19"/>
              </w:rPr>
              <w:t>Fixed 35% composite</w:t>
            </w:r>
          </w:p>
        </w:tc>
        <w:tc>
          <w:tcPr>
            <w:tcW w:type="dxa" w:w="1440"/>
          </w:tcPr>
          <w:p>
            <w:r>
              <w:rPr>
                <w:sz w:val="19"/>
              </w:rPr>
              <w:t>-0.0279</w:t>
            </w:r>
          </w:p>
        </w:tc>
        <w:tc>
          <w:tcPr>
            <w:tcW w:type="dxa" w:w="1152"/>
          </w:tcPr>
          <w:p>
            <w:r>
              <w:rPr>
                <w:sz w:val="19"/>
              </w:rPr>
              <w:t>-0.86</w:t>
            </w:r>
          </w:p>
        </w:tc>
        <w:tc>
          <w:tcPr>
            <w:tcW w:type="dxa" w:w="1152"/>
          </w:tcPr>
          <w:p>
            <w:r>
              <w:rPr>
                <w:sz w:val="19"/>
              </w:rPr>
              <w:t>0.391</w:t>
            </w:r>
          </w:p>
        </w:tc>
        <w:tc>
          <w:tcPr>
            <w:tcW w:type="dxa" w:w="1008"/>
          </w:tcPr>
          <w:p>
            <w:r>
              <w:rPr>
                <w:sz w:val="19"/>
              </w:rPr>
              <w:t>0.005</w:t>
            </w:r>
          </w:p>
        </w:tc>
      </w:tr>
      <w:tr>
        <w:tc>
          <w:tcPr>
            <w:tcW w:type="dxa" w:w="1296"/>
          </w:tcPr>
          <w:p>
            <w:r>
              <w:rPr>
                <w:sz w:val="19"/>
              </w:rPr>
              <w:t>6 months</w:t>
            </w:r>
          </w:p>
        </w:tc>
        <w:tc>
          <w:tcPr>
            <w:tcW w:type="dxa" w:w="2448"/>
          </w:tcPr>
          <w:p>
            <w:r>
              <w:rPr>
                <w:sz w:val="19"/>
              </w:rPr>
              <w:t>Gap</w:t>
            </w:r>
          </w:p>
        </w:tc>
        <w:tc>
          <w:tcPr>
            <w:tcW w:type="dxa" w:w="1440"/>
          </w:tcPr>
          <w:p>
            <w:r>
              <w:rPr>
                <w:sz w:val="19"/>
              </w:rPr>
              <w:t>0.0864</w:t>
            </w:r>
          </w:p>
        </w:tc>
        <w:tc>
          <w:tcPr>
            <w:tcW w:type="dxa" w:w="1152"/>
          </w:tcPr>
          <w:p>
            <w:r>
              <w:rPr>
                <w:sz w:val="19"/>
              </w:rPr>
              <w:t>0.62</w:t>
            </w:r>
          </w:p>
        </w:tc>
        <w:tc>
          <w:tcPr>
            <w:tcW w:type="dxa" w:w="1152"/>
          </w:tcPr>
          <w:p>
            <w:r>
              <w:rPr>
                <w:sz w:val="19"/>
              </w:rPr>
              <w:t>0.533</w:t>
            </w:r>
          </w:p>
        </w:tc>
        <w:tc>
          <w:tcPr>
            <w:tcW w:type="dxa" w:w="1008"/>
          </w:tcPr>
          <w:p>
            <w:r>
              <w:rPr>
                <w:sz w:val="19"/>
              </w:rPr>
              <w:t>0.007</w:t>
            </w:r>
          </w:p>
        </w:tc>
      </w:tr>
      <w:tr>
        <w:tc>
          <w:tcPr>
            <w:tcW w:type="dxa" w:w="1296"/>
          </w:tcPr>
          <w:p>
            <w:r>
              <w:rPr>
                <w:sz w:val="19"/>
              </w:rPr>
              <w:t>6 months</w:t>
            </w:r>
          </w:p>
        </w:tc>
        <w:tc>
          <w:tcPr>
            <w:tcW w:type="dxa" w:w="2448"/>
          </w:tcPr>
          <w:p>
            <w:r>
              <w:rPr>
                <w:sz w:val="19"/>
              </w:rPr>
              <w:t>Adaptive composite</w:t>
            </w:r>
          </w:p>
        </w:tc>
        <w:tc>
          <w:tcPr>
            <w:tcW w:type="dxa" w:w="1440"/>
          </w:tcPr>
          <w:p>
            <w:r>
              <w:rPr>
                <w:sz w:val="19"/>
              </w:rPr>
              <w:t>-0.0266</w:t>
            </w:r>
          </w:p>
        </w:tc>
        <w:tc>
          <w:tcPr>
            <w:tcW w:type="dxa" w:w="1152"/>
          </w:tcPr>
          <w:p>
            <w:r>
              <w:rPr>
                <w:sz w:val="19"/>
              </w:rPr>
              <w:t>-0.50</w:t>
            </w:r>
          </w:p>
        </w:tc>
        <w:tc>
          <w:tcPr>
            <w:tcW w:type="dxa" w:w="1152"/>
          </w:tcPr>
          <w:p>
            <w:r>
              <w:rPr>
                <w:sz w:val="19"/>
              </w:rPr>
              <w:t>0.617</w:t>
            </w:r>
          </w:p>
        </w:tc>
        <w:tc>
          <w:tcPr>
            <w:tcW w:type="dxa" w:w="1008"/>
          </w:tcPr>
          <w:p>
            <w:r>
              <w:rPr>
                <w:sz w:val="19"/>
              </w:rPr>
              <w:t>0.003</w:t>
            </w:r>
          </w:p>
        </w:tc>
      </w:tr>
      <w:tr>
        <w:tc>
          <w:tcPr>
            <w:tcW w:type="dxa" w:w="1296"/>
          </w:tcPr>
          <w:p>
            <w:r>
              <w:rPr>
                <w:sz w:val="19"/>
              </w:rPr>
              <w:t>6 months</w:t>
            </w:r>
          </w:p>
        </w:tc>
        <w:tc>
          <w:tcPr>
            <w:tcW w:type="dxa" w:w="2448"/>
          </w:tcPr>
          <w:p>
            <w:r>
              <w:rPr>
                <w:sz w:val="19"/>
              </w:rPr>
              <w:t>Fixed 35% composite</w:t>
            </w:r>
          </w:p>
        </w:tc>
        <w:tc>
          <w:tcPr>
            <w:tcW w:type="dxa" w:w="1440"/>
          </w:tcPr>
          <w:p>
            <w:r>
              <w:rPr>
                <w:sz w:val="19"/>
              </w:rPr>
              <w:t>-0.0341</w:t>
            </w:r>
          </w:p>
        </w:tc>
        <w:tc>
          <w:tcPr>
            <w:tcW w:type="dxa" w:w="1152"/>
          </w:tcPr>
          <w:p>
            <w:r>
              <w:rPr>
                <w:sz w:val="19"/>
              </w:rPr>
              <w:t>-0.58</w:t>
            </w:r>
          </w:p>
        </w:tc>
        <w:tc>
          <w:tcPr>
            <w:tcW w:type="dxa" w:w="1152"/>
          </w:tcPr>
          <w:p>
            <w:r>
              <w:rPr>
                <w:sz w:val="19"/>
              </w:rPr>
              <w:t>0.565</w:t>
            </w:r>
          </w:p>
        </w:tc>
        <w:tc>
          <w:tcPr>
            <w:tcW w:type="dxa" w:w="1008"/>
          </w:tcPr>
          <w:p>
            <w:r>
              <w:rPr>
                <w:sz w:val="19"/>
              </w:rPr>
              <w:t>0.004</w:t>
            </w:r>
          </w:p>
        </w:tc>
      </w:tr>
    </w:tbl>
    <w:p>
      <w:pPr>
        <w:spacing w:after="80"/>
      </w:pPr>
    </w:p>
    <w:p>
      <w:pPr>
        <w:spacing w:after="160"/>
      </w:pPr>
      <w:r>
        <w:rPr>
          <w:b w:val="0"/>
          <w:i w:val="0"/>
        </w:rPr>
        <w:t>Decile sorts on the gap and on each composite show a mild U-shape: both the most fear-pulled and the most greed-pulled deciles show somewhat higher average forward 6-month returns than the middle deciles (roughly 5–7% vs. 3–4%), but this pattern is not statistically significant at conventional levels at any horizon — none of the nine regressions above clear p &lt; 0.10, let alone p &lt; 0.05.</w:t>
      </w:r>
    </w:p>
    <w:p>
      <w:pPr>
        <w:spacing w:after="160"/>
      </w:pPr>
      <w:r>
        <w:rPr>
          <w:b/>
          <w:i w:val="0"/>
        </w:rPr>
        <w:t xml:space="preserve">Headline finding: </w:t>
      </w:r>
      <w:r>
        <w:rPr>
          <w:b w:val="0"/>
          <w:i w:val="0"/>
        </w:rPr>
        <w:t>no statistically significant predictive relationship was found between the psychology gap (or either composite variant) and forward 1/3/6-month S&amp;P 500 returns over this ~27-year window. The adaptive 15–55% weighting does not show a clear advantage over a static 35% weight in this sample — the coefficients are similar in magnitude and sign across both variants at every horizon, and neither is significant. This is an honest null result, not tuned to show significance either way.</w:t>
      </w:r>
    </w:p>
    <w:p>
      <w:pPr>
        <w:pStyle w:val="Heading1"/>
        <w:spacing w:before="360" w:after="160"/>
      </w:pPr>
      <w:r>
        <w:t>Shortcomings and Limitations of the Backtest</w:t>
      </w:r>
    </w:p>
    <w:p>
      <w:pPr>
        <w:spacing w:after="160"/>
      </w:pPr>
      <w:r>
        <w:rPr>
          <w:b w:val="0"/>
          <w:i w:val="0"/>
        </w:rPr>
        <w:t>This is the part of the study that most needs to travel with the results — several real data gaps surfaced during construction that Will's memo (“every input except prediction markets has decades of free history”) did not anticipate:</w:t>
      </w:r>
    </w:p>
    <w:p>
      <w:pPr>
        <w:pStyle w:val="ListBullet"/>
        <w:spacing w:after="120"/>
      </w:pPr>
      <w:r>
        <w:rPr>
          <w:b/>
          <w:i w:val="0"/>
        </w:rPr>
        <w:t xml:space="preserve">ISM PMI has no free historical source anywhere. </w:t>
      </w:r>
      <w:r>
        <w:rPr>
          <w:b w:val="0"/>
          <w:i w:val="0"/>
        </w:rPr>
        <w:t xml:space="preserve">FRED doesn't carry it (licensing) and Trading Economics gates full history behind a paid API — their free page is latest-value-only, the same thing the live dashboard already scrapes. As a result, the Economics pillar in this backtest runs on only 2 of its usual 3 components (real policy rate and unemployment) for the entire window, and </w:t>
      </w:r>
      <w:r>
        <w:rPr>
          <w:b/>
          <w:i w:val="0"/>
        </w:rPr>
        <w:t xml:space="preserve">cycle_stage can never resolve to anything but “Unknown” historically </w:t>
      </w:r>
      <w:r>
        <w:rPr>
          <w:b w:val="0"/>
          <w:i w:val="0"/>
        </w:rPr>
        <w:t>(it requires PMI to classify). That means the VIX cycle-stage adjustment — calm volatility reading as more concerning late-cycle — never activates anywhere in this backtest, even though it does in the live dashboard.</w:t>
      </w:r>
    </w:p>
    <w:p>
      <w:pPr>
        <w:pStyle w:val="ListBullet"/>
        <w:spacing w:after="120"/>
      </w:pPr>
      <w:r>
        <w:rPr>
          <w:b/>
          <w:i w:val="0"/>
        </w:rPr>
        <w:t xml:space="preserve">HY OAS's free FRED history only starts 2023-07-28. </w:t>
      </w:r>
      <w:r>
        <w:rPr>
          <w:b w:val="0"/>
          <w:i w:val="0"/>
        </w:rPr>
        <w:t>The credit-spread signal is effectively untested before that date and is excluded from the reconstruction prior to it.</w:t>
      </w:r>
    </w:p>
    <w:p>
      <w:pPr>
        <w:pStyle w:val="ListBullet"/>
        <w:spacing w:after="120"/>
      </w:pPr>
      <w:r>
        <w:rPr>
          <w:b/>
          <w:i w:val="0"/>
        </w:rPr>
        <w:t xml:space="preserve">Cboe's downloadable put/call archives stop at 2019-10-04. </w:t>
      </w:r>
      <w:r>
        <w:rPr>
          <w:b w:val="0"/>
          <w:i w:val="0"/>
        </w:rPr>
        <w:t>This was discovered mid-build, not anticipated going in — despite the live daily scraper reading today's value just fine, no free bulk historical file bridges 2019 to 2026, so put/call is excluded from that seven-year stretch of the backtest.</w:t>
      </w:r>
    </w:p>
    <w:p>
      <w:pPr>
        <w:pStyle w:val="ListBullet"/>
        <w:spacing w:after="120"/>
      </w:pPr>
      <w:r>
        <w:rPr>
          <w:b/>
          <w:i w:val="0"/>
        </w:rPr>
        <w:t xml:space="preserve">The window is ~27 years (1999–2026), not the full 30 requested. </w:t>
      </w:r>
      <w:r>
        <w:rPr>
          <w:b w:val="0"/>
          <w:i w:val="0"/>
        </w:rPr>
        <w:t>bounded by the five sector ETFs' 1998-12-22 inception, since the Finance pillar's breadth component needs all five.</w:t>
      </w:r>
    </w:p>
    <w:p>
      <w:pPr>
        <w:pStyle w:val="ListBullet"/>
        <w:spacing w:after="120"/>
      </w:pPr>
      <w:r>
        <w:rPr>
          <w:b/>
          <w:i w:val="0"/>
        </w:rPr>
        <w:t xml:space="preserve">Monthly/weekly series are forward-filled with an assumed publication lag, </w:t>
      </w:r>
      <w:r>
        <w:rPr>
          <w:b w:val="0"/>
          <w:i w:val="0"/>
        </w:rPr>
        <w:t>not each series' actual historical release calendar — CPI, unemployment, fed funds, consumer sentiment, AAII, NAAIM, and the S&amp;P 500 P/E are all affected.</w:t>
      </w:r>
    </w:p>
    <w:p>
      <w:pPr>
        <w:pStyle w:val="ListBullet"/>
        <w:spacing w:after="120"/>
      </w:pPr>
      <w:r>
        <w:rPr>
          <w:b/>
          <w:i w:val="0"/>
        </w:rPr>
        <w:t xml:space="preserve">CPI and unemployment use today's revised FRED values throughout history, </w:t>
      </w:r>
      <w:r>
        <w:rPr>
          <w:b w:val="0"/>
          <w:i w:val="0"/>
        </w:rPr>
        <w:t>not the real-time-as-then vintages that would actually have been known on each date — a genuine, unresolved look-ahead source specific to those two series. FRED's ALFRED vintage-data service would fix this properly; implementing it was out of scope here.</w:t>
      </w:r>
    </w:p>
    <w:p>
      <w:pPr>
        <w:pStyle w:val="ListBullet"/>
        <w:spacing w:after="120"/>
      </w:pPr>
      <w:r>
        <w:rPr>
          <w:b/>
          <w:i w:val="0"/>
        </w:rPr>
        <w:t xml:space="preserve">Extreme-decile results are dominated by a handful of crisis episodes </w:t>
      </w:r>
      <w:r>
        <w:rPr>
          <w:b w:val="0"/>
          <w:i w:val="0"/>
        </w:rPr>
        <w:t>(2008, 2020, and similar), not many independent events — thousands of daily observations are highly serially correlated, so each decile's sample size overstates how much independent evidence it represents. Newey-West standard errors correct for this in the regressions above, but it's worth keeping in mind when reading the decile pattern narratively.</w:t>
      </w:r>
    </w:p>
    <w:p>
      <w:pPr>
        <w:pStyle w:val="ListBullet"/>
        <w:spacing w:after="120"/>
      </w:pPr>
      <w:r>
        <w:rPr>
          <w:b/>
          <w:i w:val="0"/>
        </w:rPr>
        <w:t xml:space="preserve">This is a first-pass, inspectable validation study, not peer-reviewed or production-grade quantitative research </w:t>
      </w:r>
      <w:r>
        <w:rPr>
          <w:b w:val="0"/>
          <w:i w:val="0"/>
        </w:rPr>
        <w:t>— consistent with the project's own stated scope: genuinely useful, not predictive or rigorous in the academic-finance sense.</w:t>
      </w:r>
    </w:p>
    <w:p>
      <w:pPr>
        <w:pStyle w:val="Heading1"/>
        <w:spacing w:before="360" w:after="160"/>
      </w:pPr>
      <w:r>
        <w:t>Reproducibility</w:t>
      </w:r>
    </w:p>
    <w:p>
      <w:pPr>
        <w:spacing w:after="160"/>
      </w:pPr>
      <w:r>
        <w:rPr>
          <w:b w:val="0"/>
          <w:i w:val="0"/>
        </w:rPr>
        <w:t>All raw historical data, the fetch script, the reconstruction/analysis script, and the full results are committed to the repository for inspection or re-running:</w:t>
      </w:r>
    </w:p>
    <w:p>
      <w:pPr>
        <w:pStyle w:val="ListBullet"/>
        <w:spacing w:after="120"/>
      </w:pPr>
      <w:r>
        <w:rPr>
          <w:b w:val="0"/>
          <w:i w:val="0"/>
        </w:rPr>
        <w:t>scripts/backtest_fetch.py — pulls and caches raw historical series from each free source</w:t>
      </w:r>
    </w:p>
    <w:p>
      <w:pPr>
        <w:pStyle w:val="ListBullet"/>
        <w:spacing w:after="120"/>
      </w:pPr>
      <w:r>
        <w:rPr>
          <w:b w:val="0"/>
          <w:i w:val="0"/>
        </w:rPr>
        <w:t>scripts/backtest.py — alignment, expanding-window standardization, composite reconstruction, event study, Newey-West regressions</w:t>
      </w:r>
    </w:p>
    <w:p>
      <w:pPr>
        <w:pStyle w:val="ListBullet"/>
        <w:spacing w:after="120"/>
      </w:pPr>
      <w:r>
        <w:rPr>
          <w:b w:val="0"/>
          <w:i w:val="0"/>
        </w:rPr>
        <w:t>data/backtest_raw/*.csv — the cached raw pulls</w:t>
      </w:r>
    </w:p>
    <w:p>
      <w:pPr>
        <w:pStyle w:val="ListBullet"/>
        <w:spacing w:after="120"/>
      </w:pPr>
      <w:r>
        <w:rPr>
          <w:b w:val="0"/>
          <w:i w:val="0"/>
        </w:rPr>
        <w:t>data/backtest_daily_series.csv — the full reconstructed daily series (pillar scores, both composites, the gap, SPY close)</w:t>
      </w:r>
    </w:p>
    <w:p>
      <w:pPr>
        <w:pStyle w:val="ListBullet"/>
        <w:spacing w:after="120"/>
      </w:pPr>
      <w:r>
        <w:rPr>
          <w:b w:val="0"/>
          <w:i w:val="0"/>
        </w:rPr>
        <w:t>data/backtest_results.json — the decile tables and regression statistics summarized above</w:t>
      </w:r>
    </w:p>
    <w:p>
      <w:pPr>
        <w:pStyle w:val="Heading1"/>
        <w:spacing w:before="360" w:after="160"/>
      </w:pPr>
      <w:r>
        <w:t>Open Questions for the Meeting with Will</w:t>
      </w:r>
    </w:p>
    <w:p>
      <w:pPr>
        <w:pStyle w:val="ListBullet"/>
        <w:spacing w:after="120"/>
      </w:pPr>
      <w:r>
        <w:rPr>
          <w:b/>
          <w:i w:val="0"/>
        </w:rPr>
        <w:t xml:space="preserve">Target audience (item 2): </w:t>
      </w:r>
      <w:r>
        <w:rPr>
          <w:b w:val="0"/>
          <w:i w:val="0"/>
        </w:rPr>
        <w:t>confirm “teaching” or the secondary option (Will's own sanity-check + academic portfolio) — affects the tooltip layer and which future signals matter most.</w:t>
      </w:r>
    </w:p>
    <w:p>
      <w:pPr>
        <w:pStyle w:val="ListBullet"/>
        <w:spacing w:after="120"/>
      </w:pPr>
      <w:r>
        <w:rPr>
          <w:b/>
          <w:i w:val="0"/>
        </w:rPr>
        <w:t xml:space="preserve">How to handle the three data gaps above </w:t>
      </w:r>
      <w:r>
        <w:rPr>
          <w:b w:val="0"/>
          <w:i w:val="0"/>
        </w:rPr>
        <w:t>in any future revision of the validation study: drop ISM PMI/HY OAS/put-call from the historical version entirely, run variable-length windows per component, or split into a shorter “modern” (2023+) composite variant vs. a longer “long-history” one without HY OAS?</w:t>
      </w:r>
    </w:p>
    <w:p>
      <w:pPr>
        <w:pStyle w:val="ListBullet"/>
        <w:spacing w:after="120"/>
      </w:pPr>
      <w:r>
        <w:rPr>
          <w:b/>
          <w:i w:val="0"/>
        </w:rPr>
        <w:t xml:space="preserve">Whether to surface these backtest results in the live dashboard </w:t>
      </w:r>
      <w:r>
        <w:rPr>
          <w:b w:val="0"/>
          <w:i w:val="0"/>
        </w:rPr>
        <w:t>as a new section, or keep them as a standalone research artifact (current state — report plus raw data/scripts in the repo, nothing in the live UI).</w:t>
      </w:r>
    </w:p>
    <w:p>
      <w:pPr>
        <w:pStyle w:val="ListBullet"/>
        <w:spacing w:after="120"/>
      </w:pPr>
      <w:r>
        <w:rPr>
          <w:b/>
          <w:i w:val="0"/>
        </w:rPr>
        <w:t xml:space="preserve">Whether Damodaran's implied ERP </w:t>
      </w:r>
      <w:r>
        <w:rPr>
          <w:b w:val="0"/>
          <w:i w:val="0"/>
        </w:rPr>
        <w:t>is worth the extra parsing dependency (xlrd, on top of openpyxl already added for NAAIM) for one more monthly figure.</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