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6E6E73"/>
          <w:sz w:val="20"/>
        </w:rPr>
        <w:t>THE FINANCIAL HUB</w:t>
      </w:r>
    </w:p>
    <w:p>
      <w:pPr>
        <w:spacing w:after="80"/>
      </w:pPr>
      <w:r>
        <w:rPr>
          <w:b/>
          <w:sz w:val="44"/>
        </w:rPr>
        <w:t>Session Summary: What Was Added, and Backtest Shortcomings</w:t>
      </w:r>
    </w:p>
    <w:p>
      <w:pPr>
        <w:spacing w:after="200"/>
      </w:pPr>
      <w:r>
        <w:rPr>
          <w:i/>
          <w:color w:val="6E6E73"/>
          <w:sz w:val="20"/>
        </w:rPr>
        <w:t>Prepared by Armas · 28 July 2026</w:t>
      </w:r>
    </w:p>
    <w:p>
      <w:pPr>
        <w:pBdr>
          <w:bottom w:val="single" w:sz="6" w:space="1" w:color="D2D2D7"/>
        </w:pBdr>
        <w:spacing w:after="200"/>
      </w:pPr>
    </w:p>
    <w:p>
      <w:pPr>
        <w:pStyle w:val="Heading1"/>
        <w:spacing w:before="360" w:after="160"/>
      </w:pPr>
      <w:r>
        <w:t>What Was Added</w:t>
      </w:r>
    </w:p>
    <w:p>
      <w:pPr>
        <w:spacing w:after="160"/>
      </w:pPr>
      <w:r>
        <w:rPr>
          <w:b w:val="0"/>
          <w:i w:val="0"/>
        </w:rPr>
        <w:t xml:space="preserve">Three new Psychology-pillar signals: </w:t>
      </w:r>
    </w:p>
    <w:p>
      <w:pPr>
        <w:pStyle w:val="ListBullet"/>
        <w:spacing w:after="120"/>
      </w:pPr>
      <w:r>
        <w:rPr>
          <w:b/>
          <w:i w:val="0"/>
        </w:rPr>
        <w:t xml:space="preserve">HY Credit Spread (OAS) </w:t>
      </w:r>
      <w:r>
        <w:rPr>
          <w:b w:val="0"/>
          <w:i w:val="0"/>
        </w:rPr>
        <w:t>(FRED) — the bond market's priced fear, diversifying a pillar that was otherwise VIX-heavy.</w:t>
      </w:r>
    </w:p>
    <w:p>
      <w:pPr>
        <w:pStyle w:val="ListBullet"/>
        <w:spacing w:after="120"/>
      </w:pPr>
      <w:r>
        <w:rPr>
          <w:b/>
          <w:i w:val="0"/>
        </w:rPr>
        <w:t xml:space="preserve">SF Fed Daily News Sentiment </w:t>
      </w:r>
      <w:r>
        <w:rPr>
          <w:b w:val="0"/>
          <w:i w:val="0"/>
        </w:rPr>
        <w:t>(free CSV, frbsf.org) — a daily NLP sentiment score from major newspapers' economic coverage.</w:t>
      </w:r>
    </w:p>
    <w:p>
      <w:pPr>
        <w:pStyle w:val="ListBullet"/>
        <w:spacing w:after="120"/>
      </w:pPr>
      <w:r>
        <w:rPr>
          <w:b/>
          <w:i w:val="0"/>
        </w:rPr>
        <w:t xml:space="preserve">NAAIM Manager Exposure </w:t>
      </w:r>
      <w:r>
        <w:rPr>
          <w:b w:val="0"/>
          <w:i w:val="0"/>
        </w:rPr>
        <w:t>(scraped weekly, naaim.org) — active managers' real reported equity exposure, fixing AAII's costless-opinion weakness.</w:t>
      </w:r>
    </w:p>
    <w:p>
      <w:pPr>
        <w:spacing w:after="80"/>
      </w:pPr>
      <w:r>
        <w:rPr>
          <w:b w:val="0"/>
          <w:i w:val="0"/>
        </w:rPr>
        <w:t>Interface overhaul:</w:t>
      </w:r>
    </w:p>
    <w:p>
      <w:pPr>
        <w:pStyle w:val="ListBullet"/>
        <w:spacing w:after="120"/>
      </w:pPr>
      <w:r>
        <w:rPr>
          <w:b/>
          <w:i w:val="0"/>
        </w:rPr>
        <w:t xml:space="preserve">Hero number, first on screen: </w:t>
      </w:r>
      <w:r>
        <w:rPr>
          <w:b w:val="0"/>
          <w:i w:val="0"/>
        </w:rPr>
        <w:t>the psychology gap vs. fundamentals is now the largest element on the page, with the regime name/badge beside it.</w:t>
      </w:r>
    </w:p>
    <w:p>
      <w:pPr>
        <w:pStyle w:val="ListBullet"/>
        <w:spacing w:after="120"/>
      </w:pPr>
      <w:r>
        <w:rPr>
          <w:b/>
          <w:i w:val="0"/>
        </w:rPr>
        <w:t xml:space="preserve">Psychology-weight gauge: </w:t>
      </w:r>
      <w:r>
        <w:rPr>
          <w:b w:val="0"/>
          <w:i w:val="0"/>
        </w:rPr>
        <w:t>shows where in the adaptive 15–55% band psychology's influence currently sits.</w:t>
      </w:r>
    </w:p>
    <w:p>
      <w:pPr>
        <w:pStyle w:val="ListBullet"/>
        <w:spacing w:after="120"/>
      </w:pPr>
      <w:r>
        <w:rPr>
          <w:b/>
          <w:i w:val="0"/>
        </w:rPr>
        <w:t xml:space="preserve">Auto-generated “since yesterday” narrative, </w:t>
      </w:r>
      <w:r>
        <w:rPr>
          <w:b w:val="0"/>
          <w:i w:val="0"/>
        </w:rPr>
        <w:t xml:space="preserve">sparklines on every point-value metric, “explain this signal” tooltips, and progressive disclosure </w:t>
      </w:r>
      <w:r>
        <w:rPr>
          <w:b w:val="0"/>
          <w:i w:val="0"/>
        </w:rPr>
        <w:t>(pillar breakdown/full narrative/trend chart moved behind a collapsed toggle).</w:t>
      </w:r>
    </w:p>
    <w:p>
      <w:pPr>
        <w:spacing w:after="80"/>
      </w:pPr>
      <w:r>
        <w:rPr>
          <w:b w:val="0"/>
          <w:i w:val="0"/>
        </w:rPr>
        <w:t>New Backtesting tab (5th tab, alongside Finance/Economics/Psychology/Strategy):</w:t>
      </w:r>
    </w:p>
    <w:p>
      <w:pPr>
        <w:pStyle w:val="ListBullet"/>
        <w:spacing w:after="120"/>
      </w:pPr>
      <w:r>
        <w:rPr>
          <w:b/>
          <w:i w:val="0"/>
        </w:rPr>
        <w:t xml:space="preserve">Reconstructs the composite daily from 1999 to today </w:t>
      </w:r>
      <w:r>
        <w:rPr>
          <w:b w:val="0"/>
          <w:i w:val="0"/>
        </w:rPr>
        <w:t>using expanding-window, no-look-ahead statistics (replacing the live dashboard's fixed approximations) — tests whether an extreme psychology-vs-fundamentals gap predicts forward S&amp;P 500 returns, and whether the adaptive 15–55% weighting beats a static 35%.</w:t>
      </w:r>
    </w:p>
    <w:p>
      <w:pPr>
        <w:pStyle w:val="ListBullet"/>
        <w:spacing w:after="120"/>
      </w:pPr>
      <w:r>
        <w:rPr>
          <w:b/>
          <w:i w:val="0"/>
        </w:rPr>
        <w:t xml:space="preserve">Shows: </w:t>
      </w:r>
      <w:r>
        <w:rPr>
          <w:b w:val="0"/>
          <w:i w:val="0"/>
        </w:rPr>
        <w:t>a headline verdict badge, an SPY growth chart shaded by the regime the composite would have called historically, a forward-return-by-decile chart, and the full Newey-West regression table.</w:t>
      </w:r>
    </w:p>
    <w:p>
      <w:pPr>
        <w:pStyle w:val="ListBullet"/>
        <w:spacing w:after="120"/>
      </w:pPr>
      <w:r>
        <w:rPr>
          <w:b/>
          <w:i w:val="0"/>
        </w:rPr>
        <w:t xml:space="preserve">Headline finding: </w:t>
      </w:r>
      <w:r>
        <w:rPr>
          <w:b w:val="0"/>
          <w:i w:val="0"/>
        </w:rPr>
        <w:t>no statistically significant predictive edge found at any horizon (all p &gt; 0.10), and the adaptive weighting does not show a clear advantage over a static 35% weight in this sample — an honest null result.</w:t>
      </w:r>
    </w:p>
    <w:p>
      <w:pPr>
        <w:pStyle w:val="Heading1"/>
        <w:spacing w:before="360" w:after="160"/>
      </w:pPr>
      <w:r>
        <w:t>Backtest Shortcomings</w:t>
      </w:r>
    </w:p>
    <w:p>
      <w:pPr>
        <w:spacing w:after="160"/>
      </w:pPr>
      <w:r>
        <w:rPr>
          <w:b w:val="0"/>
          <w:i w:val="0"/>
        </w:rPr>
        <w:t>The validation study's limitations, in order of how much they matter:</w:t>
      </w:r>
    </w:p>
    <w:p>
      <w:pPr>
        <w:pStyle w:val="ListBullet"/>
        <w:spacing w:after="120"/>
      </w:pPr>
      <w:r>
        <w:rPr>
          <w:b/>
          <w:i w:val="0"/>
        </w:rPr>
        <w:t xml:space="preserve">ISM PMI has no free historical source anywhere. </w:t>
      </w:r>
      <w:r>
        <w:rPr>
          <w:b w:val="0"/>
          <w:i w:val="0"/>
        </w:rPr>
        <w:t>Neither FRED nor Trading Economics offers free historical access. The Economics pillar in this backtest therefore runs on only 2 of its usual 3 components (real policy rate and unemployment) for the entire window, and the cycle stage can never resolve to anything but “Unknown” historically — so the VIX cycle-stage adjustment (calm reading as more concerning late-cycle) never activates in the backtest, even though it does live.</w:t>
      </w:r>
    </w:p>
    <w:p>
      <w:pPr>
        <w:pStyle w:val="ListBullet"/>
        <w:spacing w:after="120"/>
      </w:pPr>
      <w:r>
        <w:rPr>
          <w:b/>
          <w:i w:val="0"/>
        </w:rPr>
        <w:t xml:space="preserve">HY OAS's free history only starts 2023-07-28. </w:t>
      </w:r>
      <w:r>
        <w:rPr>
          <w:b w:val="0"/>
          <w:i w:val="0"/>
        </w:rPr>
        <w:t>The credit-spread signal is effectively untested before that date.</w:t>
      </w:r>
    </w:p>
    <w:p>
      <w:pPr>
        <w:pStyle w:val="ListBullet"/>
        <w:spacing w:after="120"/>
      </w:pPr>
      <w:r>
        <w:rPr>
          <w:b/>
          <w:i w:val="0"/>
        </w:rPr>
        <w:t xml:space="preserve">Cboe's downloadable put/call archives stop at 2019-10-04. </w:t>
      </w:r>
      <w:r>
        <w:rPr>
          <w:b w:val="0"/>
          <w:i w:val="0"/>
        </w:rPr>
        <w:t>Despite the live scraper reading today's value fine, no free bulk file bridges 2019–2026, so put/call is excluded from that stretch.</w:t>
      </w:r>
    </w:p>
    <w:p>
      <w:pPr>
        <w:pStyle w:val="ListBullet"/>
        <w:spacing w:after="120"/>
      </w:pPr>
      <w:r>
        <w:rPr>
          <w:b/>
          <w:i w:val="0"/>
        </w:rPr>
        <w:t xml:space="preserve">The window is ~27 years (1999–2026), not 30. </w:t>
      </w:r>
      <w:r>
        <w:rPr>
          <w:b w:val="0"/>
          <w:i w:val="0"/>
        </w:rPr>
        <w:t>Bounded by the five sector ETFs' 1998-12-22 inception.</w:t>
      </w:r>
    </w:p>
    <w:p>
      <w:pPr>
        <w:pStyle w:val="ListBullet"/>
        <w:spacing w:after="120"/>
      </w:pPr>
      <w:r>
        <w:rPr>
          <w:b/>
          <w:i w:val="0"/>
        </w:rPr>
        <w:t xml:space="preserve">Monthly/weekly series use an assumed publication lag, </w:t>
      </w:r>
      <w:r>
        <w:rPr>
          <w:b w:val="0"/>
          <w:i w:val="0"/>
        </w:rPr>
        <w:t>not each series' real historical release calendar (CPI, unemployment, fed funds, consumer sentiment, AAII, NAAIM, S&amp;P 500 P/E).</w:t>
      </w:r>
    </w:p>
    <w:p>
      <w:pPr>
        <w:pStyle w:val="ListBullet"/>
        <w:spacing w:after="120"/>
      </w:pPr>
      <w:r>
        <w:rPr>
          <w:b/>
          <w:i w:val="0"/>
        </w:rPr>
        <w:t xml:space="preserve">CPI and unemployment use today's revised values throughout history, </w:t>
      </w:r>
      <w:r>
        <w:rPr>
          <w:b w:val="0"/>
          <w:i w:val="0"/>
        </w:rPr>
        <w:t>not the real-time-as-then vintages that would actually have been known on each date — a genuine, unresolved look-ahead source. Fixing this would require FRED's ALFRED vintage data.</w:t>
      </w:r>
    </w:p>
    <w:p>
      <w:pPr>
        <w:pStyle w:val="ListBullet"/>
        <w:spacing w:after="120"/>
      </w:pPr>
      <w:r>
        <w:rPr>
          <w:b/>
          <w:i w:val="0"/>
        </w:rPr>
        <w:t xml:space="preserve">Extreme-decile results are dominated by a handful of crisis episodes </w:t>
      </w:r>
      <w:r>
        <w:rPr>
          <w:b w:val="0"/>
          <w:i w:val="0"/>
        </w:rPr>
        <w:t>(2008, 2020, etc.), not many independent events — Newey-West errors correct for this in the regressions, but it's worth remembering when reading the decile chart.</w:t>
      </w:r>
    </w:p>
    <w:p>
      <w:pPr>
        <w:pStyle w:val="ListBullet"/>
        <w:spacing w:after="120"/>
      </w:pPr>
      <w:r>
        <w:rPr>
          <w:b/>
          <w:i w:val="0"/>
        </w:rPr>
        <w:t xml:space="preserve">This is a first-pass, inspectable study, not peer-reviewed or production-grade research </w:t>
      </w:r>
      <w:r>
        <w:rPr>
          <w:b w:val="0"/>
          <w:i w:val="0"/>
        </w:rPr>
        <w:t>— consistent with the project's own scope: genuinely useful, not academically rigorous.</w:t>
      </w:r>
    </w:p>
    <w:p>
      <w:pPr>
        <w:spacing w:after="80"/>
      </w:pPr>
      <w:r>
        <w:rPr>
          <w:b w:val="0"/>
          <w:i w:val="0"/>
        </w:rPr>
        <w:t>Full regression table and methodology detail live on the site's Backtesting tab; raw data and analysis scripts are in the project repository (scripts/backtest.py, data/backtest_results.json).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