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F5AF" w14:textId="1A31655B" w:rsidR="005330FF" w:rsidRPr="00505E1C" w:rsidRDefault="00AE73EC" w:rsidP="00505E1C">
      <w:pPr>
        <w:jc w:val="center"/>
        <w:rPr>
          <w:rFonts w:ascii="Arial" w:hAnsi="Arial" w:cs="Arial"/>
          <w:sz w:val="36"/>
          <w:szCs w:val="36"/>
        </w:rPr>
      </w:pPr>
      <w:r w:rsidRPr="00505E1C">
        <w:rPr>
          <w:rFonts w:ascii="Arial" w:hAnsi="Arial" w:cs="Arial"/>
          <w:sz w:val="36"/>
          <w:szCs w:val="36"/>
        </w:rPr>
        <w:t>SOFTWARE ARCHITECTURE</w:t>
      </w:r>
    </w:p>
    <w:p w14:paraId="71167D79" w14:textId="2B172522" w:rsidR="00AE73EC" w:rsidRPr="00980CB0" w:rsidRDefault="00AE73EC" w:rsidP="00AE73EC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>Sottosistemi principali</w:t>
      </w:r>
      <w:r w:rsidRPr="00980CB0">
        <w:rPr>
          <w:rFonts w:ascii="Arial" w:hAnsi="Arial" w:cs="Arial"/>
        </w:rPr>
        <w:t xml:space="preserve">: </w:t>
      </w:r>
      <w:r w:rsidR="00B71990">
        <w:rPr>
          <w:rFonts w:ascii="Arial" w:hAnsi="Arial" w:cs="Arial"/>
        </w:rPr>
        <w:t>Gestisce le istanze dei Malvagi e degli Eroi</w:t>
      </w:r>
    </w:p>
    <w:p w14:paraId="14B46891" w14:textId="19F7BE36" w:rsidR="00AE73EC" w:rsidRPr="00980CB0" w:rsidRDefault="00505E1C" w:rsidP="00AE73EC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>Motore</w:t>
      </w:r>
      <w:r w:rsidR="00541EBD" w:rsidRPr="00505E1C">
        <w:rPr>
          <w:rFonts w:ascii="Arial" w:hAnsi="Arial" w:cs="Arial"/>
          <w:b/>
          <w:bCs/>
        </w:rPr>
        <w:t xml:space="preserve"> d</w:t>
      </w:r>
      <w:r w:rsidRPr="00505E1C">
        <w:rPr>
          <w:rFonts w:ascii="Arial" w:hAnsi="Arial" w:cs="Arial"/>
          <w:b/>
          <w:bCs/>
        </w:rPr>
        <w:t>i</w:t>
      </w:r>
      <w:r w:rsidR="00541EBD" w:rsidRPr="00505E1C">
        <w:rPr>
          <w:rFonts w:ascii="Arial" w:hAnsi="Arial" w:cs="Arial"/>
          <w:b/>
          <w:bCs/>
        </w:rPr>
        <w:t xml:space="preserve"> gioco</w:t>
      </w:r>
      <w:r w:rsidR="00541EBD" w:rsidRPr="00980CB0">
        <w:rPr>
          <w:rFonts w:ascii="Arial" w:hAnsi="Arial" w:cs="Arial"/>
        </w:rPr>
        <w:t>: Gestisce il ciclo di vita della partita e l’ordine delle fasi</w:t>
      </w:r>
    </w:p>
    <w:p w14:paraId="2052880B" w14:textId="0E0C44FB" w:rsidR="00541EBD" w:rsidRPr="00980CB0" w:rsidRDefault="00541EBD" w:rsidP="00AE73EC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505E1C">
        <w:rPr>
          <w:rFonts w:ascii="Arial" w:hAnsi="Arial" w:cs="Arial"/>
          <w:b/>
          <w:bCs/>
        </w:rPr>
        <w:t>Entity</w:t>
      </w:r>
      <w:proofErr w:type="spellEnd"/>
      <w:r w:rsidRPr="00505E1C">
        <w:rPr>
          <w:rFonts w:ascii="Arial" w:hAnsi="Arial" w:cs="Arial"/>
          <w:b/>
          <w:bCs/>
        </w:rPr>
        <w:t xml:space="preserve"> Manager</w:t>
      </w:r>
      <w:r w:rsidRPr="00980CB0">
        <w:rPr>
          <w:rFonts w:ascii="Arial" w:hAnsi="Arial" w:cs="Arial"/>
        </w:rPr>
        <w:t xml:space="preserve">: Gestisce le istanze dei Malvagi e degli Eroi. Ogni </w:t>
      </w:r>
      <w:r w:rsidR="00980CB0" w:rsidRPr="00980CB0">
        <w:rPr>
          <w:rFonts w:ascii="Arial" w:hAnsi="Arial" w:cs="Arial"/>
        </w:rPr>
        <w:t>entità</w:t>
      </w:r>
      <w:r w:rsidRPr="00980CB0">
        <w:rPr>
          <w:rFonts w:ascii="Arial" w:hAnsi="Arial" w:cs="Arial"/>
        </w:rPr>
        <w:t xml:space="preserve"> ha attributo </w:t>
      </w:r>
      <w:r w:rsidR="00505E1C">
        <w:rPr>
          <w:rFonts w:ascii="Arial" w:hAnsi="Arial" w:cs="Arial"/>
        </w:rPr>
        <w:t>(</w:t>
      </w:r>
      <w:r w:rsidRPr="00980CB0">
        <w:rPr>
          <w:rFonts w:ascii="Arial" w:hAnsi="Arial" w:cs="Arial"/>
        </w:rPr>
        <w:t>Salute</w:t>
      </w:r>
      <w:r w:rsidR="00505E1C">
        <w:rPr>
          <w:rFonts w:ascii="Arial" w:hAnsi="Arial" w:cs="Arial"/>
        </w:rPr>
        <w:t>)</w:t>
      </w:r>
      <w:r w:rsidRPr="00980CB0">
        <w:rPr>
          <w:rFonts w:ascii="Arial" w:hAnsi="Arial" w:cs="Arial"/>
        </w:rPr>
        <w:t xml:space="preserve"> e metodi (Attacco, Difesa).</w:t>
      </w:r>
    </w:p>
    <w:p w14:paraId="734FA67B" w14:textId="6B20B7FD" w:rsidR="00541EBD" w:rsidRPr="00980CB0" w:rsidRDefault="00541EBD" w:rsidP="00AE73EC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 xml:space="preserve">Mazzo &amp; </w:t>
      </w:r>
      <w:r w:rsidR="00505E1C" w:rsidRPr="00505E1C">
        <w:rPr>
          <w:rFonts w:ascii="Arial" w:hAnsi="Arial" w:cs="Arial"/>
          <w:b/>
          <w:bCs/>
        </w:rPr>
        <w:t>Negozio</w:t>
      </w:r>
      <w:r w:rsidRPr="00980CB0">
        <w:rPr>
          <w:rFonts w:ascii="Arial" w:hAnsi="Arial" w:cs="Arial"/>
        </w:rPr>
        <w:t>: Modulo responsabile delle operazioni di rimescolamento, pesca, scarto. Implementa la logica di persistenza del mazzo tra i turni.</w:t>
      </w:r>
    </w:p>
    <w:p w14:paraId="7D6DA024" w14:textId="5C522185" w:rsidR="00541EBD" w:rsidRPr="00980CB0" w:rsidRDefault="00541EBD" w:rsidP="00AE73EC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505E1C">
        <w:rPr>
          <w:rFonts w:ascii="Arial" w:hAnsi="Arial" w:cs="Arial"/>
          <w:b/>
          <w:bCs/>
        </w:rPr>
        <w:t>Effect</w:t>
      </w:r>
      <w:proofErr w:type="spellEnd"/>
      <w:r w:rsidRPr="00505E1C">
        <w:rPr>
          <w:rFonts w:ascii="Arial" w:hAnsi="Arial" w:cs="Arial"/>
          <w:b/>
          <w:bCs/>
        </w:rPr>
        <w:t xml:space="preserve"> Processor</w:t>
      </w:r>
      <w:r w:rsidRPr="00980CB0">
        <w:rPr>
          <w:rFonts w:ascii="Arial" w:hAnsi="Arial" w:cs="Arial"/>
        </w:rPr>
        <w:t>: Un motore di calcolo che risolve le catene di effetti. Quando una carta viene giocata, il processor analizza se c sono Trigger attivi (ad es. Ogni volta che guadagni un cuore, pesca una carta).</w:t>
      </w:r>
    </w:p>
    <w:p w14:paraId="69148F15" w14:textId="77777777" w:rsidR="005C2CD7" w:rsidRPr="005C2CD7" w:rsidRDefault="005C2CD7" w:rsidP="005C2CD7">
      <w:pPr>
        <w:pStyle w:val="Paragrafoelenco"/>
        <w:rPr>
          <w:rFonts w:ascii="Arial" w:hAnsi="Arial" w:cs="Arial"/>
        </w:rPr>
      </w:pPr>
    </w:p>
    <w:p w14:paraId="545AEAD2" w14:textId="089C23C2" w:rsidR="00980CB0" w:rsidRPr="00980CB0" w:rsidRDefault="00980CB0" w:rsidP="00980CB0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>Architettura dei dati:</w:t>
      </w:r>
      <w:r w:rsidRPr="00980CB0">
        <w:rPr>
          <w:rFonts w:ascii="Arial" w:hAnsi="Arial" w:cs="Arial"/>
        </w:rPr>
        <w:t xml:space="preserve"> Il sistema è reattivo. Molte carte utilizzano un’architettura basata su eventi.</w:t>
      </w:r>
    </w:p>
    <w:p w14:paraId="33C582C6" w14:textId="6318FF99" w:rsidR="00980CB0" w:rsidRPr="00980CB0" w:rsidRDefault="00980CB0" w:rsidP="00980CB0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>Publisher</w:t>
      </w:r>
      <w:r w:rsidRPr="00980CB0">
        <w:rPr>
          <w:rFonts w:ascii="Arial" w:hAnsi="Arial" w:cs="Arial"/>
        </w:rPr>
        <w:t xml:space="preserve">: Un’azione </w:t>
      </w:r>
      <w:r w:rsidR="00B71990">
        <w:rPr>
          <w:rFonts w:ascii="Arial" w:hAnsi="Arial" w:cs="Arial"/>
        </w:rPr>
        <w:t>che scatena l’evento</w:t>
      </w:r>
      <w:r w:rsidR="008C662B">
        <w:rPr>
          <w:rFonts w:ascii="Arial" w:hAnsi="Arial" w:cs="Arial"/>
        </w:rPr>
        <w:t>.</w:t>
      </w:r>
    </w:p>
    <w:p w14:paraId="2AF507B9" w14:textId="4BEF79B6" w:rsidR="00980CB0" w:rsidRPr="00980CB0" w:rsidRDefault="00980CB0" w:rsidP="00980CB0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505E1C">
        <w:rPr>
          <w:rFonts w:ascii="Arial" w:hAnsi="Arial" w:cs="Arial"/>
          <w:b/>
          <w:bCs/>
        </w:rPr>
        <w:t>Subscriber</w:t>
      </w:r>
      <w:proofErr w:type="spellEnd"/>
      <w:r w:rsidRPr="00980CB0">
        <w:rPr>
          <w:rFonts w:ascii="Arial" w:hAnsi="Arial" w:cs="Arial"/>
        </w:rPr>
        <w:t>: Carte abilità che ascoltano quell’evento per attivare un bonus automatico.</w:t>
      </w:r>
    </w:p>
    <w:p w14:paraId="33C6E5FE" w14:textId="77777777" w:rsidR="005C2CD7" w:rsidRPr="005C2CD7" w:rsidRDefault="005C2CD7" w:rsidP="005C2CD7">
      <w:pPr>
        <w:pStyle w:val="Paragrafoelenco"/>
        <w:rPr>
          <w:rFonts w:ascii="Arial" w:hAnsi="Arial" w:cs="Arial"/>
        </w:rPr>
      </w:pPr>
    </w:p>
    <w:p w14:paraId="33B176D4" w14:textId="54C20F04" w:rsidR="00980CB0" w:rsidRDefault="00980CB0" w:rsidP="00980CB0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>Design Patterns</w:t>
      </w:r>
      <w:r w:rsidRPr="00980CB0">
        <w:rPr>
          <w:rFonts w:ascii="Arial" w:hAnsi="Arial" w:cs="Arial"/>
        </w:rPr>
        <w:t xml:space="preserve">: </w:t>
      </w:r>
    </w:p>
    <w:p w14:paraId="08486092" w14:textId="76B833A2" w:rsidR="00980CB0" w:rsidRDefault="00980CB0" w:rsidP="00980CB0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>State pattern</w:t>
      </w:r>
      <w:r>
        <w:rPr>
          <w:rFonts w:ascii="Arial" w:hAnsi="Arial" w:cs="Arial"/>
        </w:rPr>
        <w:t>: Utilizzato per gestire lo stato della locazione. Quando il numero dei segnalini oscurità raggiunge il limite, il sistema transita automaticamente allo stato” Location Lost” e carica la locazione successiva.</w:t>
      </w:r>
    </w:p>
    <w:p w14:paraId="3DB62B83" w14:textId="486FFF83" w:rsidR="00980CB0" w:rsidRDefault="00980CB0" w:rsidP="00980CB0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>Strategy Pattern</w:t>
      </w:r>
      <w:r>
        <w:rPr>
          <w:rFonts w:ascii="Arial" w:hAnsi="Arial" w:cs="Arial"/>
        </w:rPr>
        <w:t>: Gli eroi hanno diverse “strategie” iniziali (mazzi base differenti). Il sistema esegue l’algoritmo di gioco basandosi sulle caratteristiche specifiche dell’eroe scelto.</w:t>
      </w:r>
      <w:r w:rsidR="005C2CD7">
        <w:rPr>
          <w:rFonts w:ascii="Arial" w:hAnsi="Arial" w:cs="Arial"/>
        </w:rPr>
        <w:t xml:space="preserve"> (ad es. l’applicazione di algoritmi di calcolo differenti per il mazzo di Hermione Granger, orientato alla manipolazione di incantesimi, rispetto a quello di Ron Weasly, focalizzato sull’accumulo di alleati).</w:t>
      </w:r>
    </w:p>
    <w:p w14:paraId="5BF8AFB3" w14:textId="70D7DC74" w:rsidR="00980CB0" w:rsidRDefault="00980CB0" w:rsidP="00980CB0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505E1C">
        <w:rPr>
          <w:rFonts w:ascii="Arial" w:hAnsi="Arial" w:cs="Arial"/>
          <w:b/>
          <w:bCs/>
        </w:rPr>
        <w:t>Command</w:t>
      </w:r>
      <w:proofErr w:type="spellEnd"/>
      <w:r w:rsidRPr="00505E1C">
        <w:rPr>
          <w:rFonts w:ascii="Arial" w:hAnsi="Arial" w:cs="Arial"/>
          <w:b/>
          <w:bCs/>
        </w:rPr>
        <w:t xml:space="preserve"> Pattern</w:t>
      </w:r>
      <w:r>
        <w:rPr>
          <w:rFonts w:ascii="Arial" w:hAnsi="Arial" w:cs="Arial"/>
        </w:rPr>
        <w:t>: Ogni carta giocata può essere vista come un comando incapsulato che viene inviato a una coda di esecuzione per essere risolto.</w:t>
      </w:r>
    </w:p>
    <w:p w14:paraId="64E01532" w14:textId="77777777" w:rsidR="005C2CD7" w:rsidRPr="005C2CD7" w:rsidRDefault="005C2CD7" w:rsidP="005C2CD7">
      <w:pPr>
        <w:pStyle w:val="Paragrafoelenco"/>
        <w:rPr>
          <w:rFonts w:ascii="Arial" w:hAnsi="Arial" w:cs="Arial"/>
        </w:rPr>
      </w:pPr>
    </w:p>
    <w:p w14:paraId="101C1FC4" w14:textId="70721D6F" w:rsidR="00980CB0" w:rsidRDefault="00980CB0" w:rsidP="00980CB0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>Attributi di Qualità dell’Architettura</w:t>
      </w:r>
      <w:r>
        <w:rPr>
          <w:rFonts w:ascii="Arial" w:hAnsi="Arial" w:cs="Arial"/>
        </w:rPr>
        <w:t>:</w:t>
      </w:r>
    </w:p>
    <w:p w14:paraId="3028D371" w14:textId="25EF25C0" w:rsidR="00980CB0" w:rsidRDefault="00980CB0" w:rsidP="00980CB0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>Modularità</w:t>
      </w:r>
      <w:r>
        <w:rPr>
          <w:rFonts w:ascii="Arial" w:hAnsi="Arial" w:cs="Arial"/>
        </w:rPr>
        <w:t>: l’architettura permette l’inserimento di nuovi moduli</w:t>
      </w:r>
      <w:r w:rsidR="00505E1C">
        <w:rPr>
          <w:rFonts w:ascii="Arial" w:hAnsi="Arial" w:cs="Arial"/>
        </w:rPr>
        <w:t xml:space="preserve"> “anno” senza riscrivere il motore di gioco base.</w:t>
      </w:r>
    </w:p>
    <w:p w14:paraId="14FD700E" w14:textId="539CD12D" w:rsidR="00505E1C" w:rsidRDefault="00505E1C" w:rsidP="00980CB0">
      <w:pPr>
        <w:pStyle w:val="Paragrafoelenco"/>
        <w:numPr>
          <w:ilvl w:val="1"/>
          <w:numId w:val="2"/>
        </w:numPr>
        <w:rPr>
          <w:rFonts w:ascii="Arial" w:hAnsi="Arial" w:cs="Arial"/>
        </w:rPr>
      </w:pPr>
      <w:r w:rsidRPr="00505E1C">
        <w:rPr>
          <w:rFonts w:ascii="Arial" w:hAnsi="Arial" w:cs="Arial"/>
          <w:b/>
          <w:bCs/>
        </w:rPr>
        <w:t>Esternalità</w:t>
      </w:r>
      <w:r>
        <w:rPr>
          <w:rFonts w:ascii="Arial" w:hAnsi="Arial" w:cs="Arial"/>
        </w:rPr>
        <w:t>: È possibile aggiungere nuovi tipi di carte (</w:t>
      </w:r>
      <w:r w:rsidR="005C2CD7">
        <w:rPr>
          <w:rFonts w:ascii="Arial" w:hAnsi="Arial" w:cs="Arial"/>
        </w:rPr>
        <w:t>ad es. l’implementazione delle carte incantesimo dell’espansione)</w:t>
      </w:r>
    </w:p>
    <w:p w14:paraId="36CF9AED" w14:textId="6F9C6B0A" w:rsidR="0092624A" w:rsidRDefault="00505E1C" w:rsidP="005C2CD7">
      <w:pPr>
        <w:pStyle w:val="Paragrafoelenco"/>
        <w:numPr>
          <w:ilvl w:val="1"/>
          <w:numId w:val="2"/>
        </w:numPr>
      </w:pPr>
      <w:r w:rsidRPr="005C2CD7">
        <w:rPr>
          <w:rFonts w:ascii="Arial" w:hAnsi="Arial" w:cs="Arial"/>
          <w:b/>
          <w:bCs/>
        </w:rPr>
        <w:t>Consistenza:</w:t>
      </w:r>
      <w:r w:rsidRPr="005C2CD7">
        <w:rPr>
          <w:rFonts w:ascii="Arial" w:hAnsi="Arial" w:cs="Arial"/>
        </w:rPr>
        <w:t xml:space="preserve"> </w:t>
      </w:r>
      <w:r w:rsidR="005C2CD7" w:rsidRPr="005C2CD7">
        <w:rPr>
          <w:rFonts w:ascii="Arial" w:hAnsi="Arial" w:cs="Arial"/>
        </w:rPr>
        <w:t>sincronizzazione dei dati</w:t>
      </w:r>
      <w:r w:rsidRPr="005C2CD7">
        <w:rPr>
          <w:rFonts w:ascii="Arial" w:hAnsi="Arial" w:cs="Arial"/>
        </w:rPr>
        <w:t xml:space="preserve"> </w:t>
      </w:r>
      <w:r w:rsidR="005C2CD7">
        <w:rPr>
          <w:rFonts w:ascii="Arial" w:hAnsi="Arial" w:cs="Arial"/>
        </w:rPr>
        <w:t>(ad es. la garanzia di atomicità nell’aggiornamento dei segnalini)</w:t>
      </w:r>
    </w:p>
    <w:p w14:paraId="1C5EFDC4" w14:textId="77777777" w:rsidR="0092624A" w:rsidRDefault="0092624A"/>
    <w:sectPr w:rsidR="009262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01D34"/>
    <w:multiLevelType w:val="hybridMultilevel"/>
    <w:tmpl w:val="BFC8D91A"/>
    <w:lvl w:ilvl="0" w:tplc="C6B45F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F10FE"/>
    <w:multiLevelType w:val="multilevel"/>
    <w:tmpl w:val="1E4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456123">
    <w:abstractNumId w:val="1"/>
  </w:num>
  <w:num w:numId="2" w16cid:durableId="41517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4A"/>
    <w:rsid w:val="00451965"/>
    <w:rsid w:val="004F125C"/>
    <w:rsid w:val="00505E1C"/>
    <w:rsid w:val="005330FF"/>
    <w:rsid w:val="00541EBD"/>
    <w:rsid w:val="00580C0C"/>
    <w:rsid w:val="005C2CD7"/>
    <w:rsid w:val="005D6CDF"/>
    <w:rsid w:val="008C662B"/>
    <w:rsid w:val="0092624A"/>
    <w:rsid w:val="00980CB0"/>
    <w:rsid w:val="00AE73EC"/>
    <w:rsid w:val="00B71990"/>
    <w:rsid w:val="00BA18FA"/>
    <w:rsid w:val="00CC4823"/>
    <w:rsid w:val="00D35677"/>
    <w:rsid w:val="00F1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659CA"/>
  <w15:chartTrackingRefBased/>
  <w15:docId w15:val="{247BA8E9-C34D-4E4F-8229-167346C3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6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6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6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6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6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6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6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6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6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6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6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6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624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624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624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624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624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624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6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6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6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6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6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624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624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624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6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624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6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panaite</dc:creator>
  <cp:keywords/>
  <dc:description/>
  <cp:lastModifiedBy>andrei panaite</cp:lastModifiedBy>
  <cp:revision>2</cp:revision>
  <dcterms:created xsi:type="dcterms:W3CDTF">2026-01-31T16:12:00Z</dcterms:created>
  <dcterms:modified xsi:type="dcterms:W3CDTF">2026-01-31T19:44:00Z</dcterms:modified>
</cp:coreProperties>
</file>