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B65308D" w:rsidP="478364FC" w:rsidRDefault="6B65308D" w14:paraId="417198D5" w14:textId="19FEB3D0">
      <w:pPr>
        <w:jc w:val="center"/>
        <w:rPr>
          <w:sz w:val="36"/>
          <w:szCs w:val="36"/>
        </w:rPr>
      </w:pPr>
      <w:r w:rsidRPr="478364FC" w:rsidR="6B65308D">
        <w:rPr>
          <w:sz w:val="36"/>
          <w:szCs w:val="36"/>
        </w:rPr>
        <w:t>ANALISI CODEMR</w:t>
      </w:r>
    </w:p>
    <w:p w:rsidR="3202E0F3" w:rsidP="478364FC" w:rsidRDefault="3202E0F3" w14:paraId="30311C1A" w14:textId="172B4504">
      <w:pPr>
        <w:jc w:val="left"/>
        <w:rPr>
          <w:sz w:val="24"/>
          <w:szCs w:val="24"/>
        </w:rPr>
      </w:pPr>
      <w:r w:rsidRPr="478364FC" w:rsidR="3202E0F3">
        <w:rPr>
          <w:sz w:val="24"/>
          <w:szCs w:val="24"/>
        </w:rPr>
        <w:t>CodeMR</w:t>
      </w:r>
      <w:r w:rsidRPr="478364FC" w:rsidR="3202E0F3">
        <w:rPr>
          <w:sz w:val="24"/>
          <w:szCs w:val="24"/>
        </w:rPr>
        <w:t xml:space="preserve"> è uno strumento di analisi statica del codice specializzato nell’analisi della qualità dell’architettura e della </w:t>
      </w:r>
      <w:r w:rsidRPr="478364FC" w:rsidR="135A8D88">
        <w:rPr>
          <w:sz w:val="24"/>
          <w:szCs w:val="24"/>
        </w:rPr>
        <w:t>manutenibilità</w:t>
      </w:r>
      <w:r w:rsidRPr="478364FC" w:rsidR="3202E0F3">
        <w:rPr>
          <w:sz w:val="24"/>
          <w:szCs w:val="24"/>
        </w:rPr>
        <w:t xml:space="preserve"> del software</w:t>
      </w:r>
      <w:r w:rsidRPr="478364FC" w:rsidR="2B61117E">
        <w:rPr>
          <w:sz w:val="24"/>
          <w:szCs w:val="24"/>
        </w:rPr>
        <w:t>. CodeM</w:t>
      </w:r>
      <w:r w:rsidRPr="478364FC" w:rsidR="1E3641E9">
        <w:rPr>
          <w:sz w:val="24"/>
          <w:szCs w:val="24"/>
        </w:rPr>
        <w:t>R</w:t>
      </w:r>
      <w:r w:rsidRPr="478364FC" w:rsidR="2B61117E">
        <w:rPr>
          <w:sz w:val="24"/>
          <w:szCs w:val="24"/>
        </w:rPr>
        <w:t xml:space="preserve"> analizza la struttura del progetto attraverso i seguenti pilastri:</w:t>
      </w:r>
    </w:p>
    <w:p w:rsidR="2B61117E" w:rsidP="478364FC" w:rsidRDefault="2B61117E" w14:paraId="392286D8" w14:textId="07DBED41">
      <w:pPr>
        <w:jc w:val="left"/>
        <w:rPr>
          <w:sz w:val="24"/>
          <w:szCs w:val="24"/>
        </w:rPr>
      </w:pPr>
      <w:r w:rsidRPr="478364FC" w:rsidR="2B61117E">
        <w:rPr>
          <w:sz w:val="24"/>
          <w:szCs w:val="24"/>
        </w:rPr>
        <w:t xml:space="preserve">-  </w:t>
      </w:r>
      <w:r w:rsidRPr="478364FC" w:rsidR="2B61117E">
        <w:rPr>
          <w:b w:val="1"/>
          <w:bCs w:val="1"/>
          <w:sz w:val="24"/>
          <w:szCs w:val="24"/>
        </w:rPr>
        <w:t>Metriche Software</w:t>
      </w:r>
      <w:r w:rsidRPr="478364FC" w:rsidR="2B61117E">
        <w:rPr>
          <w:sz w:val="24"/>
          <w:szCs w:val="24"/>
        </w:rPr>
        <w:t xml:space="preserve">: Calcola gli indicatori fondamentali come la </w:t>
      </w:r>
      <w:r w:rsidRPr="478364FC" w:rsidR="41CB38BD">
        <w:rPr>
          <w:sz w:val="24"/>
          <w:szCs w:val="24"/>
        </w:rPr>
        <w:t>complessità</w:t>
      </w:r>
      <w:r w:rsidRPr="478364FC" w:rsidR="2B61117E">
        <w:rPr>
          <w:sz w:val="24"/>
          <w:szCs w:val="24"/>
        </w:rPr>
        <w:t>, l’accoppiamento e la coesione</w:t>
      </w:r>
    </w:p>
    <w:p w:rsidR="6F10130D" w:rsidP="478364FC" w:rsidRDefault="6F10130D" w14:paraId="62AE294A" w14:textId="29019D47">
      <w:pPr>
        <w:jc w:val="left"/>
        <w:rPr>
          <w:sz w:val="24"/>
          <w:szCs w:val="24"/>
        </w:rPr>
      </w:pPr>
      <w:r w:rsidRPr="478364FC" w:rsidR="6F10130D">
        <w:rPr>
          <w:sz w:val="24"/>
          <w:szCs w:val="24"/>
        </w:rPr>
        <w:t xml:space="preserve">- </w:t>
      </w:r>
      <w:r w:rsidRPr="478364FC" w:rsidR="6F10130D">
        <w:rPr>
          <w:b w:val="1"/>
          <w:bCs w:val="1"/>
          <w:sz w:val="24"/>
          <w:szCs w:val="24"/>
        </w:rPr>
        <w:t>Visualizzazione della grafica</w:t>
      </w:r>
      <w:r w:rsidRPr="478364FC" w:rsidR="6F10130D">
        <w:rPr>
          <w:sz w:val="24"/>
          <w:szCs w:val="24"/>
        </w:rPr>
        <w:t>: trasforma il codice in grafici come mappe diagramm</w:t>
      </w:r>
      <w:r w:rsidRPr="478364FC" w:rsidR="05CB646C">
        <w:rPr>
          <w:sz w:val="24"/>
          <w:szCs w:val="24"/>
        </w:rPr>
        <w:t>i a corde e grafi delle dipendenze.</w:t>
      </w:r>
    </w:p>
    <w:p w:rsidR="7A3961DB" w:rsidP="478364FC" w:rsidRDefault="7A3961DB" w14:paraId="5EED1D2C" w14:textId="33ED92D7">
      <w:pPr>
        <w:jc w:val="left"/>
        <w:rPr>
          <w:sz w:val="24"/>
          <w:szCs w:val="24"/>
        </w:rPr>
      </w:pPr>
      <w:r w:rsidRPr="478364FC" w:rsidR="7A3961DB">
        <w:rPr>
          <w:b w:val="1"/>
          <w:bCs w:val="1"/>
          <w:sz w:val="24"/>
          <w:szCs w:val="24"/>
        </w:rPr>
        <w:t xml:space="preserve">- </w:t>
      </w:r>
      <w:r w:rsidRPr="478364FC" w:rsidR="05CB646C">
        <w:rPr>
          <w:b w:val="1"/>
          <w:bCs w:val="1"/>
          <w:sz w:val="24"/>
          <w:szCs w:val="24"/>
        </w:rPr>
        <w:t>Identificazione del debito tecnico</w:t>
      </w:r>
      <w:r w:rsidRPr="478364FC" w:rsidR="05CB646C">
        <w:rPr>
          <w:sz w:val="24"/>
          <w:szCs w:val="24"/>
        </w:rPr>
        <w:t>: Permette di individuare rapidamente tramite il sistema a colori il livello di criticità</w:t>
      </w:r>
    </w:p>
    <w:p w:rsidR="7F1FAD51" w:rsidRDefault="7F1FAD51" w14:paraId="7EDD576C" w14:textId="64B496DF">
      <w:r w:rsidR="7F1FAD51">
        <w:rPr/>
        <w:t xml:space="preserve">1. </w:t>
      </w:r>
      <w:r w:rsidRPr="478364FC" w:rsidR="7F1FAD51">
        <w:rPr>
          <w:b w:val="1"/>
          <w:bCs w:val="1"/>
        </w:rPr>
        <w:t xml:space="preserve">Analisi </w:t>
      </w:r>
      <w:r w:rsidRPr="478364FC" w:rsidR="2F355EBF">
        <w:rPr>
          <w:b w:val="1"/>
          <w:bCs w:val="1"/>
        </w:rPr>
        <w:t>Carte</w:t>
      </w:r>
    </w:p>
    <w:p w:rsidR="478364FC" w:rsidRDefault="478364FC" w14:paraId="7B716E64" w14:textId="367B9B1B"/>
    <w:p w:rsidR="3DBF774F" w:rsidP="478364FC" w:rsidRDefault="3DBF774F" w14:paraId="6659B110" w14:textId="4229767A">
      <w:pPr>
        <w:pStyle w:val="Normal"/>
      </w:pPr>
      <w:r w:rsidR="3DBF774F">
        <w:drawing>
          <wp:inline wp14:editId="3F3AA26B" wp14:anchorId="528C66EA">
            <wp:extent cx="5724525" cy="3276600"/>
            <wp:effectExtent l="0" t="0" r="0" b="0"/>
            <wp:docPr id="1100850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0850807" name="Picture 1100850807"/>
                    <pic:cNvPicPr/>
                  </pic:nvPicPr>
                  <pic:blipFill>
                    <a:blip xmlns:r="http://schemas.openxmlformats.org/officeDocument/2006/relationships" r:embed="rId1848837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BF774F" w:rsidP="478364FC" w:rsidRDefault="3DBF774F" w14:paraId="6D1F85B6" w14:textId="6EC2EBEF">
      <w:pPr>
        <w:pStyle w:val="Normal"/>
      </w:pPr>
      <w:r w:rsidR="3DBF774F">
        <w:rPr/>
        <w:t xml:space="preserve">Il </w:t>
      </w:r>
      <w:r w:rsidR="2A2E444C">
        <w:rPr/>
        <w:t>D</w:t>
      </w:r>
      <w:r w:rsidR="3DBF774F">
        <w:rPr/>
        <w:t xml:space="preserve">ependency </w:t>
      </w:r>
      <w:r w:rsidR="3DBF774F">
        <w:rPr/>
        <w:t>Graph</w:t>
      </w:r>
      <w:r w:rsidR="3DBF774F">
        <w:rPr/>
        <w:t xml:space="preserve"> permette di visualizzare l’architettura interna </w:t>
      </w:r>
      <w:r w:rsidR="0C59C926">
        <w:rPr/>
        <w:t>del package</w:t>
      </w:r>
      <w:r w:rsidR="3DBF774F">
        <w:rPr/>
        <w:t xml:space="preserve"> carte, evidenziano pattern di progettazione utilizzati per l’entità gioco.</w:t>
      </w:r>
    </w:p>
    <w:p w:rsidR="3DBF774F" w:rsidP="478364FC" w:rsidRDefault="3DBF774F" w14:paraId="1D804E15" w14:textId="09F963EF">
      <w:pPr>
        <w:pStyle w:val="Normal"/>
        <w:spacing w:before="300" w:beforeAutospacing="off" w:after="30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="3DBF774F">
        <w:rPr/>
        <w:t>Dall’analisi del grafo emerge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chiaramente l'adozione di una struttura gerarchica centrata sul</w:t>
      </w:r>
      <w:r w:rsidRPr="478364FC" w:rsidR="2A32B3A0">
        <w:rPr>
          <w:rFonts w:ascii="Aptos" w:hAnsi="Aptos" w:eastAsia="Aptos" w:cs="Aptos"/>
          <w:noProof w:val="0"/>
          <w:sz w:val="24"/>
          <w:szCs w:val="24"/>
          <w:lang w:val="it-IT"/>
        </w:rPr>
        <w:t>la classe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Carta, rappresentata dal nodo triangolare centrale.</w:t>
      </w:r>
    </w:p>
    <w:p w:rsidR="3DBF774F" w:rsidP="478364FC" w:rsidRDefault="3DBF774F" w14:paraId="44CE7E4F" w14:textId="3E37B037">
      <w:pPr>
        <w:pStyle w:val="Normal"/>
        <w:spacing w:before="300" w:beforeAutospacing="off" w:after="300" w:afterAutospacing="off"/>
        <w:ind w:left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78364FC" w:rsidR="3DBF7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Generalizzazione/Specializzazione: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La classe Carta funge da superclasse (o interfaccia) per una moltitudine di entità specializzate quali Incantesimo, Eroe, Alleato, Luogo e Malvagio.</w:t>
      </w:r>
    </w:p>
    <w:p w:rsidR="3DBF774F" w:rsidP="478364FC" w:rsidRDefault="3DBF774F" w14:paraId="4A6024B0" w14:textId="296FDB9A">
      <w:pPr>
        <w:pStyle w:val="Normal"/>
        <w:spacing w:before="300" w:beforeAutospacing="off" w:after="300" w:afterAutospacing="off"/>
        <w:ind w:left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78364FC" w:rsidR="3DBF7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Design Pattern: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Questa struttura suggerisce l'implementazione del principio di </w:t>
      </w:r>
      <w:r w:rsidRPr="478364FC" w:rsidR="3DBF7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sostituzione di </w:t>
      </w:r>
      <w:r w:rsidRPr="478364FC" w:rsidR="3DBF7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Liskov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>, garantendo che le diverse tipologie di carte possano essere trattate in modo polimorfico dal motore di gioco.</w:t>
      </w:r>
    </w:p>
    <w:p w:rsidR="3DBF774F" w:rsidP="478364FC" w:rsidRDefault="3DBF774F" w14:paraId="68B6D0B9" w14:textId="02D130B0">
      <w:pPr>
        <w:spacing w:before="300" w:beforeAutospacing="off" w:after="300" w:afterAutospacing="off"/>
      </w:pP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grafico mostra un modello di accoppiamento di tipo </w:t>
      </w:r>
      <w:r w:rsidRPr="478364FC" w:rsidR="3DBF7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"Fan-In" elevato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verso la classe Carta.</w:t>
      </w:r>
    </w:p>
    <w:p w:rsidR="3DBF774F" w:rsidP="478364FC" w:rsidRDefault="3DBF774F" w14:paraId="195ECAA1" w14:textId="4793E44F">
      <w:pPr>
        <w:pStyle w:val="Normal"/>
        <w:spacing w:before="300" w:beforeAutospacing="off" w:after="300" w:afterAutospacing="off"/>
        <w:ind w:left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78364FC" w:rsidR="3DBF7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Centralità: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La concentrazione delle dipendenze (frecce arancioni) verso il nodo centrale indica che Carta è il punto di stabilità del modulo.</w:t>
      </w:r>
    </w:p>
    <w:p w:rsidR="3DBF774F" w:rsidP="478364FC" w:rsidRDefault="3DBF774F" w14:paraId="27B620BC" w14:textId="00B2C785">
      <w:pPr>
        <w:pStyle w:val="Normal"/>
        <w:spacing w:before="300" w:beforeAutospacing="off" w:after="300" w:afterAutospacing="off"/>
        <w:ind w:left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78364FC" w:rsidR="3DBF7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Analisi delle Relazioni: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Si notano relazioni specifiche tra classi correlate, come tra Malvagio e 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>TipoSconfittaMalvagio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o tra Pozione, Ingredienti e 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>DarkArtsPotion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. Questo indica una corretta segregazione della logica specifica all'interno di 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>sotto-domini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coerenti.</w:t>
      </w:r>
    </w:p>
    <w:p w:rsidR="3DBF774F" w:rsidP="478364FC" w:rsidRDefault="3DBF774F" w14:paraId="1B68693A" w14:textId="3AAAB1AB">
      <w:pPr>
        <w:pStyle w:val="Normal"/>
        <w:spacing w:before="300" w:beforeAutospacing="off" w:after="300" w:afterAutospacing="off"/>
        <w:ind w:left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78364FC" w:rsidR="3DBF7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Dimensioni dei Nodi: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La grandezza variabile dei nodi (es. 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>DarkArtsPotion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o Malvagio più grandi rispetto a Mazzo) riflette la diversa densità di metodi e attributi (metrica </w:t>
      </w:r>
      <w:r w:rsidRPr="478364FC" w:rsidR="3DBF7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Size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>).</w:t>
      </w:r>
    </w:p>
    <w:p w:rsidR="3DBF774F" w:rsidP="478364FC" w:rsidRDefault="3DBF774F" w14:paraId="7400E9CE" w14:textId="634A8697">
      <w:pPr>
        <w:pStyle w:val="Normal"/>
        <w:spacing w:before="300" w:beforeAutospacing="off" w:after="300" w:afterAutospacing="off"/>
        <w:ind w:left="0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78364FC" w:rsidR="3DBF77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Indicatori Cromatici: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predominio del colore </w:t>
      </w:r>
      <w:r w:rsidRPr="478364FC" w:rsidR="3DBF7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verde brillante</w:t>
      </w:r>
      <w:r w:rsidRPr="478364FC" w:rsidR="3DBF77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indica che, nonostante l'elevato numero di relazioni, la complessità interna delle classi rimane entro soglie di manutenibilità ottimali secondo i parametri di 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>CodeMR</w:t>
      </w:r>
      <w:r w:rsidRPr="478364FC" w:rsidR="3DBF774F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7F1FAD51" w:rsidP="478364FC" w:rsidRDefault="7F1FAD51" w14:paraId="47389A82" w14:textId="31DB2D85">
      <w:pPr>
        <w:pStyle w:val="Normal"/>
      </w:pPr>
      <w:r w:rsidR="7F1FAD51">
        <w:rPr/>
        <w:t>2.</w:t>
      </w:r>
      <w:r w:rsidRPr="478364FC" w:rsidR="7F1FAD51">
        <w:rPr>
          <w:b w:val="1"/>
          <w:bCs w:val="1"/>
        </w:rPr>
        <w:t xml:space="preserve"> Analisi Grafica</w:t>
      </w:r>
    </w:p>
    <w:p w:rsidR="6B39FCDE" w:rsidP="478364FC" w:rsidRDefault="6B39FCDE" w14:paraId="08B2AF38" w14:textId="0C90DB77">
      <w:pPr>
        <w:pStyle w:val="Normal"/>
      </w:pPr>
      <w:r w:rsidR="6B39FCDE">
        <w:drawing>
          <wp:inline wp14:editId="1BD1D12D" wp14:anchorId="5F487641">
            <wp:extent cx="3034688" cy="2933700"/>
            <wp:effectExtent l="0" t="0" r="0" b="0"/>
            <wp:docPr id="2103748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021427" name="Picture 749021427"/>
                    <pic:cNvPicPr/>
                  </pic:nvPicPr>
                  <pic:blipFill>
                    <a:blip xmlns:r="http://schemas.openxmlformats.org/officeDocument/2006/relationships" r:embed="rId1028268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4688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364FC" w:rsidP="478364FC" w:rsidRDefault="478364FC" w14:paraId="14863512" w14:textId="74D221E3">
      <w:pPr>
        <w:pStyle w:val="Normal"/>
      </w:pPr>
    </w:p>
    <w:p xmlns:wp14="http://schemas.microsoft.com/office/word/2010/wordml" wp14:paraId="2DC08235" wp14:textId="0DD8BC85">
      <w:r w:rsidR="767D249F">
        <w:rPr/>
        <w:t xml:space="preserve">Questo grafico visualizza </w:t>
      </w:r>
      <w:r w:rsidR="78F2D8E4">
        <w:rPr/>
        <w:t>l'interdipendenza</w:t>
      </w:r>
      <w:r w:rsidR="767D249F">
        <w:rPr/>
        <w:t xml:space="preserve"> e il flusso di </w:t>
      </w:r>
      <w:r w:rsidR="55DAA6A1">
        <w:rPr/>
        <w:t>accoppiamento</w:t>
      </w:r>
      <w:r w:rsidR="767D249F">
        <w:rPr/>
        <w:t xml:space="preserve"> tra i vari </w:t>
      </w:r>
      <w:r w:rsidR="552076D8">
        <w:rPr/>
        <w:t>package</w:t>
      </w:r>
      <w:r w:rsidR="767D249F">
        <w:rPr/>
        <w:t xml:space="preserve"> della parte grafica.</w:t>
      </w:r>
    </w:p>
    <w:p w:rsidR="767D249F" w:rsidRDefault="767D249F" w14:paraId="424BE388" w14:textId="75368FD9">
      <w:r w:rsidR="767D249F">
        <w:rPr/>
        <w:t>Analisi del grafico:</w:t>
      </w:r>
    </w:p>
    <w:p w:rsidR="767D249F" w:rsidP="478364FC" w:rsidRDefault="767D249F" w14:paraId="7381AB7F" w14:textId="16C0020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78364FC" w:rsidR="767D249F">
        <w:rPr>
          <w:b w:val="1"/>
          <w:bCs w:val="1"/>
          <w:sz w:val="24"/>
          <w:szCs w:val="24"/>
        </w:rPr>
        <w:t>Archi esterni:</w:t>
      </w:r>
      <w:r w:rsidRPr="478364FC" w:rsidR="767D249F">
        <w:rPr>
          <w:sz w:val="24"/>
          <w:szCs w:val="24"/>
        </w:rPr>
        <w:t xml:space="preserve"> </w:t>
      </w:r>
      <w:r w:rsidRPr="478364FC" w:rsidR="16CB7779">
        <w:rPr>
          <w:sz w:val="24"/>
          <w:szCs w:val="24"/>
        </w:rPr>
        <w:t>Rappresentano</w:t>
      </w:r>
      <w:r w:rsidRPr="478364FC" w:rsidR="767D249F">
        <w:rPr>
          <w:sz w:val="24"/>
          <w:szCs w:val="24"/>
        </w:rPr>
        <w:t xml:space="preserve"> i sotto-package come panels, </w:t>
      </w:r>
      <w:r w:rsidRPr="478364FC" w:rsidR="767D249F">
        <w:rPr>
          <w:sz w:val="24"/>
          <w:szCs w:val="24"/>
        </w:rPr>
        <w:t>conttrollers</w:t>
      </w:r>
      <w:r w:rsidRPr="478364FC" w:rsidR="767D249F">
        <w:rPr>
          <w:sz w:val="24"/>
          <w:szCs w:val="24"/>
        </w:rPr>
        <w:t>, s</w:t>
      </w:r>
      <w:r w:rsidRPr="478364FC" w:rsidR="605845BB">
        <w:rPr>
          <w:sz w:val="24"/>
          <w:szCs w:val="24"/>
        </w:rPr>
        <w:t>creen</w:t>
      </w:r>
      <w:r w:rsidRPr="478364FC" w:rsidR="767D249F">
        <w:rPr>
          <w:sz w:val="24"/>
          <w:szCs w:val="24"/>
        </w:rPr>
        <w:t xml:space="preserve"> grafica, </w:t>
      </w:r>
      <w:r w:rsidRPr="478364FC" w:rsidR="767D249F">
        <w:rPr>
          <w:sz w:val="24"/>
          <w:szCs w:val="24"/>
        </w:rPr>
        <w:t>utils</w:t>
      </w:r>
      <w:r w:rsidRPr="478364FC" w:rsidR="767D249F">
        <w:rPr>
          <w:sz w:val="24"/>
          <w:szCs w:val="24"/>
        </w:rPr>
        <w:t>. Mentre la lunghezza dell’arco in</w:t>
      </w:r>
      <w:r w:rsidRPr="478364FC" w:rsidR="308CF566">
        <w:rPr>
          <w:sz w:val="24"/>
          <w:szCs w:val="24"/>
        </w:rPr>
        <w:t>dica la dimensione o il numero delle classi contenute in quel pacchetto.</w:t>
      </w:r>
    </w:p>
    <w:p w:rsidR="308CF566" w:rsidP="478364FC" w:rsidRDefault="308CF566" w14:paraId="2D1736B2" w14:textId="101C217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78364FC" w:rsidR="308CF566">
        <w:rPr>
          <w:b w:val="1"/>
          <w:bCs w:val="1"/>
          <w:sz w:val="24"/>
          <w:szCs w:val="24"/>
        </w:rPr>
        <w:t>Le corde</w:t>
      </w:r>
      <w:r w:rsidRPr="478364FC" w:rsidR="308CF566">
        <w:rPr>
          <w:sz w:val="24"/>
          <w:szCs w:val="24"/>
        </w:rPr>
        <w:t xml:space="preserve">: Rappresentano le dipendenze, se c’è una corda che unisce panels a controllers </w:t>
      </w:r>
      <w:r w:rsidRPr="478364FC" w:rsidR="5E661819">
        <w:rPr>
          <w:sz w:val="24"/>
          <w:szCs w:val="24"/>
        </w:rPr>
        <w:t>significa che le classi dei pannelli utilizzano o richiamano classi dei controller.</w:t>
      </w:r>
    </w:p>
    <w:p w:rsidR="5E661819" w:rsidP="478364FC" w:rsidRDefault="5E661819" w14:paraId="3A9C3CDC" w14:textId="2F00986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78364FC" w:rsidR="5E661819">
        <w:rPr>
          <w:b w:val="1"/>
          <w:bCs w:val="1"/>
          <w:sz w:val="24"/>
          <w:szCs w:val="24"/>
        </w:rPr>
        <w:t>Spessore delle corde:</w:t>
      </w:r>
      <w:r w:rsidRPr="478364FC" w:rsidR="5E661819">
        <w:rPr>
          <w:sz w:val="24"/>
          <w:szCs w:val="24"/>
        </w:rPr>
        <w:t xml:space="preserve"> Più la corda è larga, maggiore è il numero di dipendenze tra quei due pacchetti</w:t>
      </w:r>
      <w:r w:rsidRPr="478364FC" w:rsidR="2B20BB82">
        <w:rPr>
          <w:sz w:val="24"/>
          <w:szCs w:val="24"/>
        </w:rPr>
        <w:t>.</w:t>
      </w:r>
    </w:p>
    <w:p w:rsidR="38CA50E6" w:rsidP="478364FC" w:rsidRDefault="38CA50E6" w14:paraId="69263B0B" w14:textId="501BFF6D">
      <w:pPr>
        <w:pStyle w:val="Normal"/>
      </w:pPr>
      <w:r w:rsidRPr="478364FC" w:rsidR="38CA50E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</w:t>
      </w:r>
      <w:r w:rsidRPr="478364FC" w:rsidR="38CA50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Chord</w:t>
      </w:r>
      <w:r w:rsidRPr="478364FC" w:rsidR="38CA50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478364FC" w:rsidR="38CA50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Diagram</w:t>
      </w:r>
      <w:r w:rsidRPr="478364FC" w:rsidR="38CA50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478364FC" w:rsidR="38CA50E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del package grafica evidenzia una stretta interconnessione tra le componenti </w:t>
      </w:r>
      <w:r w:rsidRPr="478364FC" w:rsidR="21FB5C68">
        <w:rPr>
          <w:rFonts w:ascii="Aptos" w:hAnsi="Aptos" w:eastAsia="Aptos" w:cs="Aptos"/>
          <w:noProof w:val="0"/>
          <w:sz w:val="24"/>
          <w:szCs w:val="24"/>
          <w:lang w:val="it-IT"/>
        </w:rPr>
        <w:t>del panel</w:t>
      </w:r>
      <w:r w:rsidRPr="478364FC" w:rsidR="38CA50E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la logica di controllo. Sebbene questo rifletta l'architettura scelta, l'ampiezza delle corde suggerisce di monitorare il rischio: una modifica ai controller potrebbe richiedere numerosi interventi a cascata sulla visualizzazione, riducendo la manutenibilità complessiva del modulo grafico".</w:t>
      </w:r>
    </w:p>
    <w:p w:rsidR="478364FC" w:rsidP="478364FC" w:rsidRDefault="478364FC" w14:paraId="0DB6EE91" w14:textId="7CBE867A">
      <w:pPr>
        <w:pStyle w:val="Normal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0540E07C" w:rsidP="478364FC" w:rsidRDefault="0540E07C" w14:paraId="252EDE74" w14:textId="0B1F1AF0">
      <w:pPr>
        <w:pStyle w:val="Normal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478364FC" w:rsidR="0540E07C">
        <w:rPr>
          <w:rFonts w:ascii="Aptos" w:hAnsi="Aptos" w:eastAsia="Aptos" w:cs="Aptos"/>
          <w:noProof w:val="0"/>
          <w:sz w:val="24"/>
          <w:szCs w:val="24"/>
          <w:lang w:val="it-IT"/>
        </w:rPr>
        <w:t>3. Analisi GestoreEffetti</w:t>
      </w:r>
    </w:p>
    <w:p w:rsidR="3CF48C6A" w:rsidP="478364FC" w:rsidRDefault="3CF48C6A" w14:paraId="449CA8BD" w14:textId="7CFDDF01">
      <w:pPr>
        <w:pStyle w:val="Normal"/>
      </w:pPr>
      <w:r w:rsidR="3CF48C6A">
        <w:drawing>
          <wp:inline wp14:editId="34EC32BD" wp14:anchorId="46900C1E">
            <wp:extent cx="2838450" cy="2381250"/>
            <wp:effectExtent l="133350" t="114300" r="133350" b="171450"/>
            <wp:docPr id="183761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61004" name="Picture 183761004"/>
                    <pic:cNvPicPr/>
                  </pic:nvPicPr>
                  <pic:blipFill>
                    <a:blip xmlns:r="http://schemas.openxmlformats.org/officeDocument/2006/relationships" r:embed="rId733147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381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3CF48C6A" w:rsidP="478364FC" w:rsidRDefault="3CF48C6A" w14:paraId="720EB443" w14:textId="52CB4166">
      <w:pPr>
        <w:pStyle w:val="Normal"/>
      </w:pPr>
      <w:r w:rsidR="3CF48C6A">
        <w:rPr/>
        <w:t xml:space="preserve">Grafico a ciambella per </w:t>
      </w:r>
      <w:r w:rsidR="3CF48C6A">
        <w:rPr/>
        <w:t>GestoreEffetti</w:t>
      </w:r>
    </w:p>
    <w:p w:rsidR="3CF48C6A" w:rsidP="478364FC" w:rsidRDefault="3CF48C6A" w14:paraId="36C171A0" w14:textId="32A281DC">
      <w:pPr>
        <w:pStyle w:val="Normal"/>
      </w:pPr>
      <w:r w:rsidR="3CF48C6A">
        <w:rPr/>
        <w:t xml:space="preserve">Analizzando il grafico il package </w:t>
      </w:r>
      <w:r w:rsidR="3CF48C6A">
        <w:rPr/>
        <w:t>GestoreEffeti</w:t>
      </w:r>
      <w:r w:rsidR="3CF48C6A">
        <w:rPr/>
        <w:t xml:space="preserve"> mostra segnale di allarme che richiede molta attenzione:</w:t>
      </w:r>
    </w:p>
    <w:p w:rsidR="3CF48C6A" w:rsidP="478364FC" w:rsidRDefault="3CF48C6A" w14:paraId="44D0D097" w14:textId="34534A6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78364FC" w:rsidR="3CF48C6A">
        <w:rPr>
          <w:b w:val="1"/>
          <w:bCs w:val="1"/>
          <w:sz w:val="24"/>
          <w:szCs w:val="24"/>
        </w:rPr>
        <w:t>Elevata Criticità (56.5%):</w:t>
      </w:r>
      <w:r w:rsidRPr="478364FC" w:rsidR="3CF48C6A">
        <w:rPr>
          <w:sz w:val="24"/>
          <w:szCs w:val="24"/>
        </w:rPr>
        <w:t xml:space="preserve"> Oltre la metà delle classi di questo package è </w:t>
      </w:r>
      <w:r w:rsidRPr="478364FC" w:rsidR="7963B90C">
        <w:rPr>
          <w:sz w:val="24"/>
          <w:szCs w:val="24"/>
        </w:rPr>
        <w:t>contrassegnata</w:t>
      </w:r>
      <w:r w:rsidRPr="478364FC" w:rsidR="3CF48C6A">
        <w:rPr>
          <w:sz w:val="24"/>
          <w:szCs w:val="24"/>
        </w:rPr>
        <w:t xml:space="preserve"> in rosso, indicato un elevato livello di criticità</w:t>
      </w:r>
      <w:r w:rsidRPr="478364FC" w:rsidR="7598822B">
        <w:rPr>
          <w:sz w:val="24"/>
          <w:szCs w:val="24"/>
        </w:rPr>
        <w:t xml:space="preserve">. Questo suggerisce la presenza di classi molto dense, con logiche </w:t>
      </w:r>
      <w:r w:rsidRPr="478364FC" w:rsidR="557409B6">
        <w:rPr>
          <w:sz w:val="24"/>
          <w:szCs w:val="24"/>
        </w:rPr>
        <w:t>ramificate</w:t>
      </w:r>
      <w:r w:rsidRPr="478364FC" w:rsidR="7598822B">
        <w:rPr>
          <w:sz w:val="24"/>
          <w:szCs w:val="24"/>
        </w:rPr>
        <w:t xml:space="preserve"> oppure metodi lunghi.</w:t>
      </w:r>
    </w:p>
    <w:p w:rsidR="7598822B" w:rsidP="478364FC" w:rsidRDefault="7598822B" w14:paraId="25EBB180" w14:textId="26B6CEF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78364FC" w:rsidR="7598822B">
        <w:rPr>
          <w:b w:val="1"/>
          <w:bCs w:val="1"/>
          <w:sz w:val="24"/>
          <w:szCs w:val="24"/>
        </w:rPr>
        <w:t>Complesità</w:t>
      </w:r>
      <w:r w:rsidRPr="478364FC" w:rsidR="7598822B">
        <w:rPr>
          <w:b w:val="1"/>
          <w:bCs w:val="1"/>
          <w:sz w:val="24"/>
          <w:szCs w:val="24"/>
        </w:rPr>
        <w:t xml:space="preserve"> e Accoppiamento</w:t>
      </w:r>
      <w:r w:rsidRPr="478364FC" w:rsidR="7598822B">
        <w:rPr>
          <w:sz w:val="24"/>
          <w:szCs w:val="24"/>
        </w:rPr>
        <w:t xml:space="preserve">: La predominanza del rosso </w:t>
      </w:r>
      <w:r w:rsidRPr="478364FC" w:rsidR="1B44FBC8">
        <w:rPr>
          <w:sz w:val="24"/>
          <w:szCs w:val="24"/>
        </w:rPr>
        <w:t xml:space="preserve">indica i parametri come il WMC e il </w:t>
      </w:r>
      <w:r w:rsidRPr="478364FC" w:rsidR="1B44FBC8">
        <w:rPr>
          <w:sz w:val="24"/>
          <w:szCs w:val="24"/>
        </w:rPr>
        <w:t>Coupling</w:t>
      </w:r>
      <w:r w:rsidRPr="478364FC" w:rsidR="1B44FBC8">
        <w:rPr>
          <w:sz w:val="24"/>
          <w:szCs w:val="24"/>
        </w:rPr>
        <w:t xml:space="preserve"> hanno superato le soglie di guardia</w:t>
      </w:r>
    </w:p>
    <w:p w:rsidR="1B44FBC8" w:rsidP="478364FC" w:rsidRDefault="1B44FBC8" w14:paraId="025B8427" w14:textId="74C8628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78364FC" w:rsidR="1B44FBC8">
        <w:rPr>
          <w:b w:val="1"/>
          <w:bCs w:val="1"/>
          <w:sz w:val="24"/>
          <w:szCs w:val="24"/>
        </w:rPr>
        <w:t>Confronto con il progetto:</w:t>
      </w:r>
      <w:r w:rsidRPr="478364FC" w:rsidR="1B44FBC8">
        <w:rPr>
          <w:sz w:val="24"/>
          <w:szCs w:val="24"/>
        </w:rPr>
        <w:t xml:space="preserve"> Mentre il progetto generale è per la maggior parte giallo, </w:t>
      </w:r>
      <w:r w:rsidRPr="478364FC" w:rsidR="33C94949">
        <w:rPr>
          <w:sz w:val="24"/>
          <w:szCs w:val="24"/>
        </w:rPr>
        <w:t>questo</w:t>
      </w:r>
      <w:r w:rsidRPr="478364FC" w:rsidR="1B44FBC8">
        <w:rPr>
          <w:sz w:val="24"/>
          <w:szCs w:val="24"/>
        </w:rPr>
        <w:t xml:space="preserve"> </w:t>
      </w:r>
      <w:r w:rsidRPr="478364FC" w:rsidR="0BF45330">
        <w:rPr>
          <w:sz w:val="24"/>
          <w:szCs w:val="24"/>
        </w:rPr>
        <w:t>package</w:t>
      </w:r>
      <w:r w:rsidRPr="478364FC" w:rsidR="1B44FBC8">
        <w:rPr>
          <w:sz w:val="24"/>
          <w:szCs w:val="24"/>
        </w:rPr>
        <w:t xml:space="preserve"> è il principale </w:t>
      </w:r>
      <w:r w:rsidRPr="478364FC" w:rsidR="3ECE7C36">
        <w:rPr>
          <w:sz w:val="24"/>
          <w:szCs w:val="24"/>
        </w:rPr>
        <w:t>generatore di debito tecnico.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2758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e66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8d0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1c4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f54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C533E6"/>
    <w:rsid w:val="019BFE74"/>
    <w:rsid w:val="020F74B4"/>
    <w:rsid w:val="048E56AC"/>
    <w:rsid w:val="0540E07C"/>
    <w:rsid w:val="05CB646C"/>
    <w:rsid w:val="09A52DAC"/>
    <w:rsid w:val="0BF45330"/>
    <w:rsid w:val="0C59C926"/>
    <w:rsid w:val="135A8D88"/>
    <w:rsid w:val="16CB7779"/>
    <w:rsid w:val="1B37AEEA"/>
    <w:rsid w:val="1B44FBC8"/>
    <w:rsid w:val="1E3641E9"/>
    <w:rsid w:val="1FA945CD"/>
    <w:rsid w:val="21FB5C68"/>
    <w:rsid w:val="2318139E"/>
    <w:rsid w:val="2479E002"/>
    <w:rsid w:val="2A2E444C"/>
    <w:rsid w:val="2A32B3A0"/>
    <w:rsid w:val="2B20BB82"/>
    <w:rsid w:val="2B61117E"/>
    <w:rsid w:val="2F355EBF"/>
    <w:rsid w:val="308CF566"/>
    <w:rsid w:val="3202E0F3"/>
    <w:rsid w:val="33C94949"/>
    <w:rsid w:val="34B61913"/>
    <w:rsid w:val="35F899F1"/>
    <w:rsid w:val="38CA50E6"/>
    <w:rsid w:val="3CF48C6A"/>
    <w:rsid w:val="3DBF774F"/>
    <w:rsid w:val="3ECE7C36"/>
    <w:rsid w:val="41CB38BD"/>
    <w:rsid w:val="42BB61CC"/>
    <w:rsid w:val="4703EDC5"/>
    <w:rsid w:val="478364FC"/>
    <w:rsid w:val="482C1C89"/>
    <w:rsid w:val="4A632389"/>
    <w:rsid w:val="4DC533E6"/>
    <w:rsid w:val="515CF658"/>
    <w:rsid w:val="51B5F044"/>
    <w:rsid w:val="523867B3"/>
    <w:rsid w:val="52AD304E"/>
    <w:rsid w:val="552076D8"/>
    <w:rsid w:val="557409B6"/>
    <w:rsid w:val="55DAA6A1"/>
    <w:rsid w:val="579AFFEB"/>
    <w:rsid w:val="5E661819"/>
    <w:rsid w:val="605845BB"/>
    <w:rsid w:val="643E6130"/>
    <w:rsid w:val="6B39FCDE"/>
    <w:rsid w:val="6B65308D"/>
    <w:rsid w:val="6B9A6F27"/>
    <w:rsid w:val="6C2F22B8"/>
    <w:rsid w:val="6C81CECE"/>
    <w:rsid w:val="6F10130D"/>
    <w:rsid w:val="70035552"/>
    <w:rsid w:val="7598822B"/>
    <w:rsid w:val="767D249F"/>
    <w:rsid w:val="78F2D8E4"/>
    <w:rsid w:val="7963B90C"/>
    <w:rsid w:val="7A3961DB"/>
    <w:rsid w:val="7B55D060"/>
    <w:rsid w:val="7F1FA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869E"/>
  <w15:chartTrackingRefBased/>
  <w15:docId w15:val="{24DDB187-CAE2-438C-AE34-30CD086DAE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8364FC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478364F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48837734" /><Relationship Type="http://schemas.openxmlformats.org/officeDocument/2006/relationships/image" Target="/media/image2.png" Id="rId1028268267" /><Relationship Type="http://schemas.openxmlformats.org/officeDocument/2006/relationships/image" Target="/media/image3.png" Id="rId733147897" /><Relationship Type="http://schemas.openxmlformats.org/officeDocument/2006/relationships/numbering" Target="numbering.xml" Id="R7f9a1156dc2b43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2026-01-31T23:12:14.8052281Z</dcterms:created>
  <dcterms:modified xsi:type="dcterms:W3CDTF">2026-02-01T00:16:21.7369350Z</dcterms:modified>
  <dc:creator>andrei panaite</dc:creator>
  <lastModifiedBy>andrei panaite</lastModifiedBy>
</coreProperties>
</file>