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254E" w14:textId="1EBAF597" w:rsidR="00C3326B" w:rsidRDefault="00B9665C">
      <w:pPr>
        <w:rPr>
          <w:rFonts w:ascii="Sylfaen" w:hAnsi="Sylfaen"/>
        </w:rPr>
      </w:pPr>
      <w:r>
        <w:rPr>
          <w:rFonts w:ascii="Sylfaen" w:hAnsi="Sylfaen"/>
        </w:rPr>
        <w:t>ՕՐԱԿԱՐԳ</w:t>
      </w:r>
    </w:p>
    <w:p w14:paraId="056C66F1" w14:textId="2AB5F129" w:rsidR="00B9665C" w:rsidRDefault="00B9665C">
      <w:pPr>
        <w:rPr>
          <w:rFonts w:ascii="Sylfaen" w:hAnsi="Sylfaen"/>
        </w:rPr>
      </w:pPr>
    </w:p>
    <w:p w14:paraId="20F181EC" w14:textId="2FC228F1" w:rsidR="00B9665C" w:rsidRDefault="00B9665C">
      <w:pPr>
        <w:rPr>
          <w:rFonts w:ascii="Sylfaen" w:hAnsi="Sylfaen"/>
        </w:rPr>
      </w:pPr>
      <w:r>
        <w:rPr>
          <w:rFonts w:ascii="Sylfaen" w:hAnsi="Sylfaen"/>
        </w:rPr>
        <w:t xml:space="preserve">ՕՏԱՐԵՐԿՐԱՑԻՆԵՐԻՆ ԱՇԽԱՏԱՆՔԻ ԹՈՒՅԼՏՎՈՒԹՅԱՆ ՏՐԱՄԱԴՐՄԱՆ ԵՎ ՕՏԱՐԵՐԿՐԱՑԻՆԵՐԻ ՀԵՏ ԿՆՔՎԱԾ ԱՇԽԱՏԱՆՔԱՅԻՆ ՊԱՅՄԱՆԱԳՐԵՐԻ ՀԱՇՎԱՌՄԱՆ ԷԼԵԿՏՐՈՆԱՅԻՆ ԿԱՌԱՎԱՐՄԱՆ ՀԱՐԹԱԿԻՆ ՄՇՏԱԿԱՆ ՀԱՍԱՆԵԼԻՈՒԹՅՈՒՆ ՈՒՆԵՑՈՂ ՊԵՏԱԿԱՆ ՄԱՐՄԻՆՆԵՐԻ </w:t>
      </w:r>
    </w:p>
    <w:p w14:paraId="46A960D2" w14:textId="0E0A0DAD" w:rsidR="00B9665C" w:rsidRDefault="00B9665C">
      <w:pPr>
        <w:rPr>
          <w:rFonts w:ascii="Sylfaen" w:hAnsi="Sylfaen"/>
        </w:rPr>
      </w:pPr>
      <w:r>
        <w:rPr>
          <w:rFonts w:ascii="Sylfaen" w:hAnsi="Sylfaen"/>
        </w:rPr>
        <w:t>ՀԱՆԴԻՊՈՒՄ-ՔՆՆԱՐԿՈՒՄ</w:t>
      </w:r>
    </w:p>
    <w:p w14:paraId="32BB623E" w14:textId="59B4A76F" w:rsidR="00B9665C" w:rsidRDefault="00B9665C">
      <w:pPr>
        <w:rPr>
          <w:rFonts w:ascii="Sylfaen" w:hAnsi="Sylfa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D13AE6" w14:paraId="726BAFF9" w14:textId="77777777" w:rsidTr="00D13AE6">
        <w:tc>
          <w:tcPr>
            <w:tcW w:w="1413" w:type="dxa"/>
          </w:tcPr>
          <w:p w14:paraId="55C4B700" w14:textId="3BC60F9E" w:rsid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10։</w:t>
            </w:r>
            <w:r>
              <w:rPr>
                <w:rFonts w:ascii="Sylfaen" w:hAnsi="Sylfaen"/>
              </w:rPr>
              <w:t>00</w:t>
            </w:r>
            <w:r>
              <w:rPr>
                <w:rFonts w:ascii="Sylfaen" w:hAnsi="Sylfaen"/>
              </w:rPr>
              <w:t xml:space="preserve"> – 1</w:t>
            </w:r>
            <w:r>
              <w:rPr>
                <w:rFonts w:ascii="Sylfaen" w:hAnsi="Sylfaen"/>
              </w:rPr>
              <w:t>2։00</w:t>
            </w:r>
          </w:p>
        </w:tc>
        <w:tc>
          <w:tcPr>
            <w:tcW w:w="7932" w:type="dxa"/>
          </w:tcPr>
          <w:p w14:paraId="14D3B471" w14:textId="77777777" w:rsid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Հարթակի վեբ հատվածի ներկայացում.</w:t>
            </w:r>
          </w:p>
          <w:p w14:paraId="18BE0F72" w14:textId="77777777" w:rsidR="00D13AE6" w:rsidRDefault="00D13AE6" w:rsidP="00D13AE6">
            <w:pPr>
              <w:pStyle w:val="ListParagraph"/>
              <w:numPr>
                <w:ilvl w:val="0"/>
                <w:numId w:val="1"/>
              </w:num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Հարթակի կառուցվածքը</w:t>
            </w:r>
          </w:p>
          <w:p w14:paraId="4E634B53" w14:textId="77777777" w:rsidR="00D13AE6" w:rsidRDefault="00D13AE6" w:rsidP="00D13AE6">
            <w:pPr>
              <w:pStyle w:val="ListParagraph"/>
              <w:numPr>
                <w:ilvl w:val="0"/>
                <w:numId w:val="1"/>
              </w:num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Գործատուի գրանցումը</w:t>
            </w:r>
          </w:p>
          <w:p w14:paraId="524D90DC" w14:textId="77777777" w:rsidR="00D13AE6" w:rsidRDefault="00D13AE6" w:rsidP="00D13AE6">
            <w:pPr>
              <w:pStyle w:val="ListParagraph"/>
              <w:numPr>
                <w:ilvl w:val="0"/>
                <w:numId w:val="1"/>
              </w:num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Գործատուի լիազորված անձի գրանցումը</w:t>
            </w:r>
          </w:p>
          <w:p w14:paraId="04BB1C5F" w14:textId="77777777" w:rsidR="00D13AE6" w:rsidRDefault="00D13AE6" w:rsidP="00D13AE6">
            <w:pPr>
              <w:pStyle w:val="ListParagraph"/>
              <w:numPr>
                <w:ilvl w:val="0"/>
                <w:numId w:val="1"/>
              </w:num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Գործատուի կողմից թափուր աշխատատեղի նկարագրի ստեղծում</w:t>
            </w:r>
          </w:p>
          <w:p w14:paraId="0E2CB067" w14:textId="77777777" w:rsidR="00D13AE6" w:rsidRDefault="00D13AE6" w:rsidP="00D13AE6">
            <w:pPr>
              <w:pStyle w:val="ListParagraph"/>
              <w:numPr>
                <w:ilvl w:val="0"/>
                <w:numId w:val="1"/>
              </w:numPr>
              <w:rPr>
                <w:rFonts w:ascii="Sylfaen" w:hAnsi="Sylfaen"/>
              </w:rPr>
            </w:pPr>
            <w:r w:rsidRPr="00D13AE6">
              <w:rPr>
                <w:rFonts w:ascii="Sylfaen" w:hAnsi="Sylfaen"/>
              </w:rPr>
              <w:t>Բացառությունների ցանկի շրջանակներում աշխատանքի նկարագրի և օտարերկրացու տվյալների մուտքագրում</w:t>
            </w:r>
          </w:p>
          <w:p w14:paraId="5DF5701D" w14:textId="77777777" w:rsid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Հարթակի՝ գործերի կառավարման հատվածի ներկայացում</w:t>
            </w:r>
          </w:p>
          <w:p w14:paraId="3C312A24" w14:textId="77777777" w:rsidR="00D13AE6" w:rsidRDefault="00D13AE6" w:rsidP="00D13AE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Պետական մարմինների դերերը և գործառույթները</w:t>
            </w:r>
          </w:p>
          <w:p w14:paraId="76AD5390" w14:textId="16259E28" w:rsidR="00D13AE6" w:rsidRPr="00D13AE6" w:rsidRDefault="00D13AE6" w:rsidP="00D13AE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Sylfaen" w:hAnsi="Sylfaen"/>
              </w:rPr>
            </w:pPr>
            <w:r w:rsidRPr="00B9665C">
              <w:rPr>
                <w:rFonts w:ascii="Sylfaen" w:hAnsi="Sylfaen"/>
              </w:rPr>
              <w:t>Պետական մարմինների կողմից կատարվող գործողությունները</w:t>
            </w:r>
          </w:p>
        </w:tc>
      </w:tr>
      <w:tr w:rsidR="00D13AE6" w14:paraId="14BCCB87" w14:textId="77777777" w:rsidTr="00D13AE6">
        <w:tc>
          <w:tcPr>
            <w:tcW w:w="1413" w:type="dxa"/>
          </w:tcPr>
          <w:p w14:paraId="456FC1BC" w14:textId="6A2D31A9" w:rsid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12։</w:t>
            </w:r>
            <w:r>
              <w:rPr>
                <w:rFonts w:ascii="Sylfaen" w:hAnsi="Sylfaen"/>
              </w:rPr>
              <w:t>0</w:t>
            </w:r>
            <w:r>
              <w:rPr>
                <w:rFonts w:ascii="Sylfaen" w:hAnsi="Sylfaen"/>
              </w:rPr>
              <w:t>0 – 1</w:t>
            </w:r>
            <w:r>
              <w:rPr>
                <w:rFonts w:ascii="Sylfaen" w:hAnsi="Sylfaen"/>
              </w:rPr>
              <w:t>2</w:t>
            </w:r>
            <w:r>
              <w:rPr>
                <w:rFonts w:ascii="Sylfaen" w:hAnsi="Sylfaen"/>
              </w:rPr>
              <w:t>։</w:t>
            </w:r>
            <w:r>
              <w:rPr>
                <w:rFonts w:ascii="Sylfaen" w:hAnsi="Sylfaen"/>
              </w:rPr>
              <w:t>30</w:t>
            </w:r>
          </w:p>
        </w:tc>
        <w:tc>
          <w:tcPr>
            <w:tcW w:w="7932" w:type="dxa"/>
          </w:tcPr>
          <w:p w14:paraId="6B6820BC" w14:textId="737C95A1" w:rsidR="00D13AE6" w:rsidRPr="00D13AE6" w:rsidRDefault="00D13AE6" w:rsidP="00D13AE6">
            <w:pPr>
              <w:ind w:left="360"/>
              <w:rPr>
                <w:rFonts w:ascii="Sylfaen" w:hAnsi="Sylfaen"/>
              </w:rPr>
            </w:pPr>
            <w:r w:rsidRPr="00D13AE6">
              <w:rPr>
                <w:rFonts w:ascii="Sylfaen" w:hAnsi="Sylfaen"/>
              </w:rPr>
              <w:t>Սուրճի ընդմիջում</w:t>
            </w:r>
          </w:p>
        </w:tc>
      </w:tr>
      <w:tr w:rsidR="00D13AE6" w14:paraId="541588EE" w14:textId="77777777" w:rsidTr="00D13AE6">
        <w:tc>
          <w:tcPr>
            <w:tcW w:w="1413" w:type="dxa"/>
          </w:tcPr>
          <w:p w14:paraId="03395658" w14:textId="7842D5C1" w:rsid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12։30 – 13։00</w:t>
            </w:r>
          </w:p>
        </w:tc>
        <w:tc>
          <w:tcPr>
            <w:tcW w:w="7932" w:type="dxa"/>
          </w:tcPr>
          <w:p w14:paraId="49B2312E" w14:textId="70B803E0" w:rsid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Հարթակի՝ Ներկայացված հնարավորությունների քննարկում</w:t>
            </w:r>
          </w:p>
        </w:tc>
      </w:tr>
      <w:tr w:rsidR="00D13AE6" w14:paraId="07C2AE6C" w14:textId="77777777" w:rsidTr="00D13AE6">
        <w:tc>
          <w:tcPr>
            <w:tcW w:w="1413" w:type="dxa"/>
          </w:tcPr>
          <w:p w14:paraId="60C1E779" w14:textId="07259E5F" w:rsid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13։00 – 14։</w:t>
            </w:r>
            <w:r>
              <w:rPr>
                <w:rFonts w:ascii="Sylfaen" w:hAnsi="Sylfaen"/>
              </w:rPr>
              <w:t>3</w:t>
            </w:r>
            <w:r>
              <w:rPr>
                <w:rFonts w:ascii="Sylfaen" w:hAnsi="Sylfaen"/>
              </w:rPr>
              <w:t>0</w:t>
            </w:r>
          </w:p>
        </w:tc>
        <w:tc>
          <w:tcPr>
            <w:tcW w:w="7932" w:type="dxa"/>
          </w:tcPr>
          <w:p w14:paraId="09D9E8BF" w14:textId="2D594F63" w:rsidR="00D13AE6" w:rsidRP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Օտարերկրացիներին աշխատանքի թույլտվության տրամադրաման և օտարերկրացիներին աշխատանքի հիմքով կացության կարգավիճակի տրամադրման ՀՀ կառավարության որոշման նախագծի ներկայացում</w:t>
            </w:r>
          </w:p>
        </w:tc>
      </w:tr>
      <w:tr w:rsidR="00D13AE6" w14:paraId="7BEABB74" w14:textId="77777777" w:rsidTr="00D13AE6">
        <w:tc>
          <w:tcPr>
            <w:tcW w:w="1413" w:type="dxa"/>
          </w:tcPr>
          <w:p w14:paraId="00BA5AEF" w14:textId="22E840B8" w:rsid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14։30 – 15։00 </w:t>
            </w:r>
          </w:p>
        </w:tc>
        <w:tc>
          <w:tcPr>
            <w:tcW w:w="7932" w:type="dxa"/>
          </w:tcPr>
          <w:p w14:paraId="083F3541" w14:textId="7EA3D06A" w:rsidR="00D13AE6" w:rsidRP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     Սուրճի ընդմիջում</w:t>
            </w:r>
          </w:p>
        </w:tc>
      </w:tr>
      <w:tr w:rsidR="00D13AE6" w14:paraId="06E04D97" w14:textId="77777777" w:rsidTr="00D13AE6">
        <w:tc>
          <w:tcPr>
            <w:tcW w:w="1413" w:type="dxa"/>
          </w:tcPr>
          <w:p w14:paraId="4A30E0D2" w14:textId="5EE803C6" w:rsid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15։00 – 16։00</w:t>
            </w:r>
          </w:p>
        </w:tc>
        <w:tc>
          <w:tcPr>
            <w:tcW w:w="7932" w:type="dxa"/>
          </w:tcPr>
          <w:p w14:paraId="502DC4B6" w14:textId="5CD7196E" w:rsidR="00D13AE6" w:rsidRDefault="00D13AE6" w:rsidP="00D13AE6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Կառավարության որոշման նախագծի քննարկում</w:t>
            </w:r>
          </w:p>
        </w:tc>
      </w:tr>
    </w:tbl>
    <w:p w14:paraId="02882F09" w14:textId="77777777" w:rsidR="00B9665C" w:rsidRPr="00B9665C" w:rsidRDefault="00B9665C">
      <w:pPr>
        <w:rPr>
          <w:rFonts w:ascii="Sylfaen" w:hAnsi="Sylfaen"/>
        </w:rPr>
      </w:pPr>
    </w:p>
    <w:sectPr w:rsidR="00B9665C" w:rsidRPr="00B96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3040D"/>
    <w:multiLevelType w:val="hybridMultilevel"/>
    <w:tmpl w:val="C7CC52E8"/>
    <w:lvl w:ilvl="0" w:tplc="042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C0CB6"/>
    <w:multiLevelType w:val="hybridMultilevel"/>
    <w:tmpl w:val="19FC37AA"/>
    <w:lvl w:ilvl="0" w:tplc="042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5C"/>
    <w:rsid w:val="00B9665C"/>
    <w:rsid w:val="00C3326B"/>
    <w:rsid w:val="00D1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1F69"/>
  <w15:chartTrackingRefBased/>
  <w15:docId w15:val="{885CA809-CAEE-4C4F-8FC3-A7955C6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Matevosyan</dc:creator>
  <cp:keywords/>
  <dc:description/>
  <cp:lastModifiedBy>Vardan Matevosyan</cp:lastModifiedBy>
  <cp:revision>1</cp:revision>
  <dcterms:created xsi:type="dcterms:W3CDTF">2021-09-07T11:40:00Z</dcterms:created>
  <dcterms:modified xsi:type="dcterms:W3CDTF">2021-09-07T11:56:00Z</dcterms:modified>
</cp:coreProperties>
</file>