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9E8" w:rsidRPr="00C909E8" w:rsidRDefault="00C909E8" w:rsidP="00C909E8">
      <w:pPr>
        <w:pStyle w:val="Author"/>
        <w:rPr>
          <w:rFonts w:eastAsia="MS Mincho"/>
        </w:rPr>
      </w:pPr>
      <w:r>
        <w:rPr>
          <w:noProof/>
          <w:lang w:eastAsia="fr-FR"/>
        </w:rPr>
        <w:drawing>
          <wp:inline distT="0" distB="0" distL="0" distR="0">
            <wp:extent cx="4391660" cy="1422721"/>
            <wp:effectExtent l="0" t="0" r="0" b="6350"/>
            <wp:docPr id="3" name="Image 3" descr="http://coleit2014.utt.fr/Sans-titr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oleit2014.utt.fr/Sans-titre-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142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9E8" w:rsidRPr="00C909E8" w:rsidRDefault="00C909E8" w:rsidP="00C909E8">
      <w:pPr>
        <w:pStyle w:val="Author"/>
        <w:pBdr>
          <w:bottom w:val="single" w:sz="4" w:space="1" w:color="auto"/>
        </w:pBdr>
        <w:rPr>
          <w:rFonts w:eastAsia="MS Mincho"/>
        </w:rPr>
      </w:pPr>
    </w:p>
    <w:p w:rsidR="00C909E8" w:rsidRDefault="00C909E8" w:rsidP="00C909E8">
      <w:pPr>
        <w:pStyle w:val="Titre"/>
        <w:jc w:val="both"/>
        <w:rPr>
          <w:rFonts w:eastAsia="MS Mincho"/>
        </w:rPr>
      </w:pPr>
    </w:p>
    <w:p w:rsidR="00C909E8" w:rsidRPr="00C909E8" w:rsidRDefault="00C909E8" w:rsidP="00C909E8">
      <w:pPr>
        <w:pStyle w:val="Author"/>
        <w:rPr>
          <w:rFonts w:eastAsia="MS Mincho"/>
        </w:rPr>
      </w:pPr>
    </w:p>
    <w:p w:rsidR="00C909E8" w:rsidRPr="00C909E8" w:rsidRDefault="00C909E8" w:rsidP="00C909E8">
      <w:pPr>
        <w:pStyle w:val="Titre"/>
        <w:jc w:val="both"/>
        <w:rPr>
          <w:rFonts w:eastAsia="MS Mincho"/>
          <w:sz w:val="24"/>
          <w:szCs w:val="24"/>
        </w:rPr>
      </w:pPr>
      <w:r w:rsidRPr="00C909E8">
        <w:rPr>
          <w:rFonts w:eastAsia="MS Mincho"/>
        </w:rPr>
        <w:t>Proposition de communication orale pour l’axe 2 :</w:t>
      </w:r>
      <w:r w:rsidRPr="00C909E8">
        <w:t xml:space="preserve"> </w:t>
      </w:r>
      <w:r w:rsidRPr="00C909E8">
        <w:rPr>
          <w:rFonts w:eastAsia="MS Mincho"/>
          <w:sz w:val="24"/>
          <w:szCs w:val="24"/>
        </w:rPr>
        <w:t>Transition écologique, économique et sociale et développement des territoires</w:t>
      </w:r>
    </w:p>
    <w:p w:rsidR="00C909E8" w:rsidRDefault="00C909E8" w:rsidP="00C909E8">
      <w:pPr>
        <w:pStyle w:val="Author"/>
        <w:rPr>
          <w:rFonts w:eastAsia="MS Mincho"/>
          <w:vertAlign w:val="superscript"/>
        </w:rPr>
      </w:pPr>
      <w:r>
        <w:rPr>
          <w:rFonts w:eastAsia="MS Mincho"/>
        </w:rPr>
        <w:t>R. Metereau</w:t>
      </w:r>
      <w:r>
        <w:rPr>
          <w:rFonts w:eastAsia="MS Mincho"/>
          <w:vertAlign w:val="superscript"/>
        </w:rPr>
        <w:t>1</w:t>
      </w:r>
    </w:p>
    <w:p w:rsidR="00C909E8" w:rsidRDefault="00C909E8" w:rsidP="00C909E8">
      <w:pPr>
        <w:pStyle w:val="Authoraddress"/>
        <w:rPr>
          <w:rFonts w:eastAsia="MS Mincho"/>
        </w:rPr>
      </w:pPr>
      <w:r w:rsidRPr="005C0518">
        <w:rPr>
          <w:rFonts w:eastAsia="MS Mincho"/>
          <w:vertAlign w:val="superscript"/>
        </w:rPr>
        <w:t>1</w:t>
      </w:r>
      <w:r>
        <w:rPr>
          <w:rFonts w:eastAsia="MS Mincho"/>
        </w:rPr>
        <w:t xml:space="preserve"> </w:t>
      </w:r>
      <w:r w:rsidRPr="00400B01">
        <w:rPr>
          <w:rFonts w:eastAsia="MS Mincho"/>
        </w:rPr>
        <w:t xml:space="preserve">Centre de Recherche en Economie de Grenoble (CREG), </w:t>
      </w:r>
      <w:proofErr w:type="spellStart"/>
      <w:r w:rsidRPr="00400B01">
        <w:rPr>
          <w:rFonts w:eastAsia="MS Mincho"/>
        </w:rPr>
        <w:t>Univ</w:t>
      </w:r>
      <w:proofErr w:type="spellEnd"/>
      <w:r w:rsidRPr="00400B01">
        <w:rPr>
          <w:rFonts w:eastAsia="MS Mincho"/>
        </w:rPr>
        <w:t>. Grenoble Alpes</w:t>
      </w:r>
    </w:p>
    <w:p w:rsidR="00C909E8" w:rsidRDefault="00C909E8">
      <w:pPr>
        <w:spacing w:after="0"/>
        <w:ind w:firstLine="0"/>
        <w:jc w:val="left"/>
        <w:rPr>
          <w:rFonts w:eastAsia="MS Mincho" w:cs="Arial"/>
          <w:b/>
          <w:bCs/>
          <w:kern w:val="28"/>
          <w:sz w:val="28"/>
          <w:szCs w:val="32"/>
        </w:rPr>
      </w:pPr>
    </w:p>
    <w:p w:rsidR="00C909E8" w:rsidRDefault="00C909E8">
      <w:pPr>
        <w:spacing w:after="0"/>
        <w:ind w:firstLine="0"/>
        <w:jc w:val="left"/>
        <w:rPr>
          <w:rFonts w:eastAsia="MS Mincho" w:cs="Arial"/>
          <w:b/>
          <w:bCs/>
          <w:kern w:val="28"/>
          <w:sz w:val="28"/>
          <w:szCs w:val="32"/>
        </w:rPr>
      </w:pPr>
    </w:p>
    <w:p w:rsidR="00C909E8" w:rsidRDefault="00C909E8">
      <w:pPr>
        <w:spacing w:after="0"/>
        <w:ind w:firstLine="0"/>
        <w:jc w:val="left"/>
        <w:rPr>
          <w:rFonts w:eastAsia="MS Mincho" w:cs="Arial"/>
          <w:b/>
          <w:bCs/>
          <w:kern w:val="28"/>
          <w:sz w:val="28"/>
          <w:szCs w:val="32"/>
        </w:rPr>
      </w:pPr>
    </w:p>
    <w:p w:rsidR="00C909E8" w:rsidRDefault="00C909E8">
      <w:pPr>
        <w:spacing w:after="0"/>
        <w:ind w:firstLine="0"/>
        <w:jc w:val="left"/>
        <w:rPr>
          <w:rFonts w:eastAsia="MS Mincho" w:cs="Arial"/>
          <w:b/>
          <w:bCs/>
          <w:kern w:val="28"/>
          <w:sz w:val="28"/>
          <w:szCs w:val="32"/>
        </w:rPr>
      </w:pPr>
    </w:p>
    <w:p w:rsidR="00C909E8" w:rsidRDefault="00C909E8" w:rsidP="00C909E8">
      <w:pPr>
        <w:spacing w:after="0"/>
        <w:ind w:firstLine="0"/>
        <w:jc w:val="center"/>
        <w:rPr>
          <w:rFonts w:eastAsia="MS Mincho" w:cs="Arial"/>
          <w:b/>
          <w:bCs/>
          <w:kern w:val="28"/>
          <w:sz w:val="28"/>
          <w:szCs w:val="32"/>
        </w:rPr>
      </w:pPr>
      <w:r>
        <w:rPr>
          <w:rFonts w:eastAsia="MS Mincho"/>
          <w:noProof/>
          <w:lang w:eastAsia="fr-FR"/>
        </w:rPr>
        <w:drawing>
          <wp:inline distT="0" distB="0" distL="0" distR="0">
            <wp:extent cx="1267347" cy="766745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creg_fina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396" cy="76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MS Mincho"/>
        </w:rPr>
        <w:br w:type="page"/>
      </w:r>
    </w:p>
    <w:p w:rsidR="00A019DD" w:rsidRDefault="00AF492B">
      <w:pPr>
        <w:pStyle w:val="Titre"/>
        <w:rPr>
          <w:rFonts w:eastAsia="MS Mincho"/>
        </w:rPr>
      </w:pPr>
      <w:r>
        <w:rPr>
          <w:rFonts w:eastAsia="MS Mincho"/>
        </w:rPr>
        <w:lastRenderedPageBreak/>
        <w:t>Système coopératif localisé, stratégies collectives</w:t>
      </w:r>
      <w:r w:rsidR="003F531B">
        <w:rPr>
          <w:rFonts w:eastAsia="MS Mincho"/>
        </w:rPr>
        <w:t xml:space="preserve"> paysannes</w:t>
      </w:r>
      <w:r>
        <w:rPr>
          <w:rFonts w:eastAsia="MS Mincho"/>
        </w:rPr>
        <w:t xml:space="preserve"> et agroécologie au Nicaragua : une trajectoire de transition vers des systèmes socio-écologiques soutenables</w:t>
      </w:r>
      <w:r w:rsidR="003F531B">
        <w:rPr>
          <w:rFonts w:eastAsia="MS Mincho"/>
        </w:rPr>
        <w:t> ?</w:t>
      </w:r>
    </w:p>
    <w:p w:rsidR="00A019DD" w:rsidRDefault="005C0518">
      <w:pPr>
        <w:pStyle w:val="Author"/>
        <w:rPr>
          <w:rFonts w:eastAsia="MS Mincho"/>
          <w:vertAlign w:val="superscript"/>
        </w:rPr>
      </w:pPr>
      <w:r>
        <w:rPr>
          <w:rFonts w:eastAsia="MS Mincho"/>
        </w:rPr>
        <w:t>R</w:t>
      </w:r>
      <w:r w:rsidR="00DA7528">
        <w:rPr>
          <w:rFonts w:eastAsia="MS Mincho"/>
        </w:rPr>
        <w:t xml:space="preserve">. </w:t>
      </w:r>
      <w:r>
        <w:rPr>
          <w:rFonts w:eastAsia="MS Mincho"/>
        </w:rPr>
        <w:t>Metereau</w:t>
      </w:r>
      <w:r w:rsidR="00DA7528">
        <w:rPr>
          <w:rFonts w:eastAsia="MS Mincho"/>
          <w:vertAlign w:val="superscript"/>
        </w:rPr>
        <w:t>1</w:t>
      </w:r>
    </w:p>
    <w:p w:rsidR="00A019DD" w:rsidRDefault="00DA7528">
      <w:pPr>
        <w:pStyle w:val="Authoraddress"/>
        <w:rPr>
          <w:rFonts w:eastAsia="MS Mincho"/>
        </w:rPr>
      </w:pPr>
      <w:r w:rsidRPr="005C0518">
        <w:rPr>
          <w:rFonts w:eastAsia="MS Mincho"/>
          <w:vertAlign w:val="superscript"/>
        </w:rPr>
        <w:t>1</w:t>
      </w:r>
      <w:r w:rsidR="005C0518">
        <w:rPr>
          <w:rFonts w:eastAsia="MS Mincho"/>
        </w:rPr>
        <w:t xml:space="preserve"> </w:t>
      </w:r>
      <w:r w:rsidR="005C0518" w:rsidRPr="00400B01">
        <w:rPr>
          <w:rFonts w:eastAsia="MS Mincho"/>
        </w:rPr>
        <w:t xml:space="preserve">Centre de Recherche en Economie de Grenoble (CREG), </w:t>
      </w:r>
      <w:proofErr w:type="spellStart"/>
      <w:r w:rsidR="005C0518" w:rsidRPr="00400B01">
        <w:rPr>
          <w:rFonts w:eastAsia="MS Mincho"/>
        </w:rPr>
        <w:t>Univ</w:t>
      </w:r>
      <w:proofErr w:type="spellEnd"/>
      <w:r w:rsidR="005C0518" w:rsidRPr="00400B01">
        <w:rPr>
          <w:rFonts w:eastAsia="MS Mincho"/>
        </w:rPr>
        <w:t>. Grenoble Alpes</w:t>
      </w:r>
    </w:p>
    <w:p w:rsidR="00A019DD" w:rsidRDefault="005C0518">
      <w:pPr>
        <w:pStyle w:val="Titre1"/>
        <w:rPr>
          <w:rFonts w:eastAsia="MS Mincho"/>
        </w:rPr>
      </w:pPr>
      <w:r>
        <w:rPr>
          <w:rFonts w:eastAsia="MS Mincho"/>
        </w:rPr>
        <w:t xml:space="preserve">Mots clés : </w:t>
      </w:r>
    </w:p>
    <w:p w:rsidR="005C0518" w:rsidRDefault="005C0518" w:rsidP="005C0518">
      <w:pPr>
        <w:pStyle w:val="Firstparagraph"/>
        <w:rPr>
          <w:rFonts w:eastAsia="MS Mincho"/>
        </w:rPr>
      </w:pPr>
      <w:r>
        <w:rPr>
          <w:rFonts w:eastAsia="MS Mincho"/>
        </w:rPr>
        <w:t>Ecologie Industrielle et Territoriale, Agroécologie, Integrated Food-</w:t>
      </w:r>
      <w:proofErr w:type="spellStart"/>
      <w:r>
        <w:rPr>
          <w:rFonts w:eastAsia="MS Mincho"/>
        </w:rPr>
        <w:t>Energy</w:t>
      </w:r>
      <w:proofErr w:type="spellEnd"/>
      <w:r>
        <w:rPr>
          <w:rFonts w:eastAsia="MS Mincho"/>
        </w:rPr>
        <w:t xml:space="preserve"> System (IFES)</w:t>
      </w:r>
      <w:r w:rsidR="003422C4">
        <w:rPr>
          <w:rFonts w:eastAsia="MS Mincho"/>
        </w:rPr>
        <w:t>, Coopérative, Nicaragua</w:t>
      </w:r>
      <w:r w:rsidR="003F531B">
        <w:rPr>
          <w:rFonts w:eastAsia="MS Mincho"/>
        </w:rPr>
        <w:t>.</w:t>
      </w:r>
    </w:p>
    <w:p w:rsidR="00577DFF" w:rsidRDefault="00577DFF" w:rsidP="00577DFF">
      <w:pPr>
        <w:pStyle w:val="Titre1"/>
        <w:rPr>
          <w:rFonts w:eastAsia="MS Mincho"/>
        </w:rPr>
      </w:pPr>
      <w:r>
        <w:rPr>
          <w:rFonts w:eastAsia="MS Mincho"/>
        </w:rPr>
        <w:t xml:space="preserve">Codes JEL : </w:t>
      </w:r>
    </w:p>
    <w:p w:rsidR="00707AFE" w:rsidRDefault="00707AFE" w:rsidP="00C909E8">
      <w:pPr>
        <w:pStyle w:val="Firstparagraph"/>
        <w:rPr>
          <w:rFonts w:eastAsia="MS Mincho"/>
        </w:rPr>
      </w:pPr>
      <w:r>
        <w:rPr>
          <w:rFonts w:eastAsia="MS Mincho"/>
        </w:rPr>
        <w:t>O13 ; Q13 ; Q57</w:t>
      </w:r>
    </w:p>
    <w:p w:rsidR="00C909E8" w:rsidRPr="00C909E8" w:rsidRDefault="00C909E8" w:rsidP="00C909E8">
      <w:pPr>
        <w:pBdr>
          <w:bottom w:val="single" w:sz="4" w:space="1" w:color="auto"/>
        </w:pBdr>
        <w:rPr>
          <w:rFonts w:eastAsia="MS Mincho"/>
        </w:rPr>
      </w:pPr>
    </w:p>
    <w:p w:rsidR="000F3E4C" w:rsidRDefault="000F3E4C" w:rsidP="000F3E4C">
      <w:pPr>
        <w:pStyle w:val="Firstparagraph"/>
        <w:rPr>
          <w:rFonts w:eastAsia="MS Mincho"/>
        </w:rPr>
      </w:pPr>
      <w:r>
        <w:rPr>
          <w:rFonts w:eastAsia="MS Mincho"/>
        </w:rPr>
        <w:t xml:space="preserve">On observe au Nicaragua, le renforcement de stratégies coopératives paysannes visant à réduire collectivement la vulnérabilité individuelle des populations rurales. En effet, au Nicaragua, troisième pays le plus pauvre de la région Amérique Latine et Caraïbes </w:t>
      </w:r>
      <w:r w:rsidRPr="000F3E4C">
        <w:rPr>
          <w:rFonts w:eastAsia="MS Mincho"/>
        </w:rPr>
        <w:t>ave</w:t>
      </w:r>
      <w:r>
        <w:rPr>
          <w:rFonts w:eastAsia="MS Mincho"/>
        </w:rPr>
        <w:t>c</w:t>
      </w:r>
      <w:r w:rsidRPr="000F3E4C">
        <w:rPr>
          <w:rFonts w:eastAsia="MS Mincho"/>
        </w:rPr>
        <w:t xml:space="preserve"> un IDH de 0,599 (129ième rang mondial, PNUD, 2013)</w:t>
      </w:r>
      <w:r>
        <w:rPr>
          <w:rFonts w:eastAsia="MS Mincho"/>
        </w:rPr>
        <w:t xml:space="preserve">, on constate à la fois </w:t>
      </w:r>
      <w:r w:rsidRPr="00C711C5">
        <w:rPr>
          <w:rFonts w:eastAsia="MS Mincho"/>
        </w:rPr>
        <w:t>la persistance</w:t>
      </w:r>
      <w:r>
        <w:rPr>
          <w:rFonts w:eastAsia="MS Mincho"/>
        </w:rPr>
        <w:t xml:space="preserve"> d’une importante population rurale pauvre – 63.3% de la population rurale vivait en dessous du seuil de pauvreté national en 2009 (Banque Mondiale, 2014) –, la</w:t>
      </w:r>
      <w:r w:rsidRPr="00C711C5">
        <w:rPr>
          <w:rFonts w:eastAsia="MS Mincho"/>
        </w:rPr>
        <w:t xml:space="preserve"> prégnance</w:t>
      </w:r>
      <w:r>
        <w:rPr>
          <w:rFonts w:eastAsia="MS Mincho"/>
        </w:rPr>
        <w:t xml:space="preserve"> de spécificités culturelles fortes, et,</w:t>
      </w:r>
      <w:r w:rsidRPr="00A3148B">
        <w:rPr>
          <w:rFonts w:eastAsia="MS Mincho"/>
        </w:rPr>
        <w:t xml:space="preserve"> </w:t>
      </w:r>
      <w:r>
        <w:rPr>
          <w:rFonts w:eastAsia="MS Mincho"/>
        </w:rPr>
        <w:t xml:space="preserve">d’une tradition coopérative héritée de la révolution Sandiniste. Cette tradition coopérative se traduit depuis le début des années 2000, par la résurgence et la consolidation d’un système coopératif articulé à différentes échelles territoriales. Localement, les « coopératives de premier degré » constituent les organisations coopératives de base, réunissant des petits producteurs, appartement à une même communauté ou « village ». </w:t>
      </w:r>
    </w:p>
    <w:p w:rsidR="003F154E" w:rsidRDefault="000F3E4C" w:rsidP="003F154E">
      <w:pPr>
        <w:rPr>
          <w:rFonts w:eastAsia="MS Mincho"/>
        </w:rPr>
      </w:pPr>
      <w:r>
        <w:rPr>
          <w:rFonts w:eastAsia="MS Mincho"/>
        </w:rPr>
        <w:t xml:space="preserve">Dans ce contexte, </w:t>
      </w:r>
      <w:r w:rsidR="003F154E">
        <w:rPr>
          <w:rFonts w:eastAsia="MS Mincho"/>
        </w:rPr>
        <w:t>s’appuyant sur une étude de terrain réalisée entre septembre 2012</w:t>
      </w:r>
      <w:r w:rsidR="00096248">
        <w:rPr>
          <w:rFonts w:eastAsia="MS Mincho"/>
        </w:rPr>
        <w:t xml:space="preserve"> </w:t>
      </w:r>
      <w:r w:rsidR="003F154E">
        <w:rPr>
          <w:rFonts w:eastAsia="MS Mincho"/>
        </w:rPr>
        <w:t xml:space="preserve">et janvier 2013, on assimile ces formes de coopération localisées au Nicaragua aux </w:t>
      </w:r>
      <w:r w:rsidR="003F154E" w:rsidRPr="00D2358C">
        <w:rPr>
          <w:rFonts w:eastAsia="MS Mincho"/>
        </w:rPr>
        <w:t>« </w:t>
      </w:r>
      <w:r w:rsidR="003F154E" w:rsidRPr="00D2358C">
        <w:rPr>
          <w:rFonts w:eastAsia="MS Mincho"/>
          <w:i/>
        </w:rPr>
        <w:t>mouvements socio-politiques menés par les paysans </w:t>
      </w:r>
      <w:r w:rsidR="003F154E" w:rsidRPr="00D2358C">
        <w:rPr>
          <w:rFonts w:eastAsia="MS Mincho"/>
        </w:rPr>
        <w:t>», qui</w:t>
      </w:r>
      <w:r w:rsidR="003F154E">
        <w:rPr>
          <w:rFonts w:eastAsia="MS Mincho"/>
        </w:rPr>
        <w:t>,</w:t>
      </w:r>
      <w:r w:rsidR="003F154E" w:rsidRPr="00D2358C">
        <w:rPr>
          <w:rFonts w:eastAsia="MS Mincho"/>
        </w:rPr>
        <w:t xml:space="preserve"> en Amériqu</w:t>
      </w:r>
      <w:r w:rsidR="003F154E">
        <w:rPr>
          <w:rFonts w:eastAsia="MS Mincho"/>
        </w:rPr>
        <w:t>e Latine,</w:t>
      </w:r>
      <w:r w:rsidR="003F154E" w:rsidRPr="00D2358C">
        <w:rPr>
          <w:rFonts w:eastAsia="MS Mincho"/>
        </w:rPr>
        <w:t xml:space="preserve"> constituent des forces majeures de changement soc</w:t>
      </w:r>
      <w:r w:rsidR="003F154E">
        <w:rPr>
          <w:rFonts w:eastAsia="MS Mincho"/>
        </w:rPr>
        <w:t>ial (</w:t>
      </w:r>
      <w:proofErr w:type="spellStart"/>
      <w:r w:rsidR="003F154E">
        <w:rPr>
          <w:rFonts w:eastAsia="MS Mincho"/>
        </w:rPr>
        <w:t>Petras</w:t>
      </w:r>
      <w:proofErr w:type="spellEnd"/>
      <w:r w:rsidR="003F154E">
        <w:rPr>
          <w:rFonts w:eastAsia="MS Mincho"/>
        </w:rPr>
        <w:t xml:space="preserve"> et </w:t>
      </w:r>
      <w:proofErr w:type="spellStart"/>
      <w:r w:rsidR="003F154E" w:rsidRPr="00DC2596">
        <w:rPr>
          <w:rFonts w:eastAsia="MS Mincho"/>
        </w:rPr>
        <w:t>Veltmeyer</w:t>
      </w:r>
      <w:proofErr w:type="spellEnd"/>
      <w:r w:rsidR="003F154E" w:rsidRPr="00DC2596">
        <w:rPr>
          <w:rFonts w:eastAsia="MS Mincho"/>
        </w:rPr>
        <w:t>, 2001</w:t>
      </w:r>
      <w:r w:rsidR="00096248">
        <w:rPr>
          <w:rFonts w:eastAsia="MS Mincho"/>
        </w:rPr>
        <w:t> ; Metereau et Figuière, 2014</w:t>
      </w:r>
      <w:r w:rsidR="00954156">
        <w:rPr>
          <w:rFonts w:eastAsia="MS Mincho"/>
        </w:rPr>
        <w:t>b</w:t>
      </w:r>
      <w:r w:rsidR="003F154E" w:rsidRPr="00DC2596">
        <w:rPr>
          <w:rFonts w:eastAsia="MS Mincho"/>
        </w:rPr>
        <w:t>).</w:t>
      </w:r>
      <w:r w:rsidR="003F154E">
        <w:rPr>
          <w:rFonts w:eastAsia="MS Mincho"/>
        </w:rPr>
        <w:t xml:space="preserve"> Il s’agit en effet, au-delà du simple intérêt économique que peut avoir le modèle coopératif pour ces petits producteurs individuels, de mettre en œuvre des stratégies autonomes de développement</w:t>
      </w:r>
      <w:r w:rsidR="006A1529">
        <w:rPr>
          <w:rFonts w:eastAsia="MS Mincho"/>
        </w:rPr>
        <w:t xml:space="preserve">. Ces stratégies </w:t>
      </w:r>
      <w:r w:rsidR="006A1529" w:rsidRPr="006A1529">
        <w:rPr>
          <w:rFonts w:eastAsia="MS Mincho"/>
        </w:rPr>
        <w:t xml:space="preserve">constituent des alternatives, en cela qu’elles incluent « </w:t>
      </w:r>
      <w:r w:rsidR="006A1529" w:rsidRPr="006A1529">
        <w:rPr>
          <w:rFonts w:eastAsia="MS Mincho"/>
          <w:i/>
        </w:rPr>
        <w:t xml:space="preserve">la critique du modèle d'exclusion de la mondialisation néolibérale, la mobilisation sociale, la lutte socio-culturelle et politique </w:t>
      </w:r>
      <w:r w:rsidR="006A1529" w:rsidRPr="006A1529">
        <w:rPr>
          <w:rFonts w:eastAsia="MS Mincho"/>
        </w:rPr>
        <w:t>[…] » (Larroa, 2010 : 8).</w:t>
      </w:r>
    </w:p>
    <w:p w:rsidR="00CC69FC" w:rsidRDefault="006A1529" w:rsidP="00CC69FC">
      <w:pPr>
        <w:rPr>
          <w:rFonts w:eastAsia="MS Mincho"/>
        </w:rPr>
      </w:pPr>
      <w:r>
        <w:rPr>
          <w:rFonts w:eastAsia="MS Mincho"/>
        </w:rPr>
        <w:t xml:space="preserve">L’objectif de cette communication s’inscrit dans la continuité de cette étude de terrain. </w:t>
      </w:r>
      <w:r w:rsidR="00BA0645">
        <w:rPr>
          <w:rFonts w:eastAsia="MS Mincho"/>
        </w:rPr>
        <w:t xml:space="preserve">On s’interroge </w:t>
      </w:r>
      <w:r w:rsidR="008C1FC5">
        <w:rPr>
          <w:rFonts w:eastAsia="MS Mincho"/>
        </w:rPr>
        <w:t xml:space="preserve">dès lors </w:t>
      </w:r>
      <w:r>
        <w:rPr>
          <w:rFonts w:eastAsia="MS Mincho"/>
        </w:rPr>
        <w:t>la soutenabilité environnementale de ces stratégies alterna</w:t>
      </w:r>
      <w:r w:rsidR="00BA0645">
        <w:rPr>
          <w:rFonts w:eastAsia="MS Mincho"/>
        </w:rPr>
        <w:t>tives de développement localisé</w:t>
      </w:r>
      <w:r w:rsidR="00CC69FC">
        <w:rPr>
          <w:rFonts w:eastAsia="MS Mincho"/>
        </w:rPr>
        <w:t xml:space="preserve">. Les pratiques agroécologiques d’une part </w:t>
      </w:r>
      <w:r w:rsidR="00CC69FC" w:rsidRPr="00CC69FC">
        <w:rPr>
          <w:rFonts w:eastAsia="MS Mincho"/>
        </w:rPr>
        <w:t>(Altieri, 1989 ; Sevilla Guzmán, 200</w:t>
      </w:r>
      <w:r w:rsidR="00E74DBE">
        <w:rPr>
          <w:rFonts w:eastAsia="MS Mincho"/>
        </w:rPr>
        <w:t>2</w:t>
      </w:r>
      <w:r w:rsidR="00CC69FC" w:rsidRPr="00CC69FC">
        <w:rPr>
          <w:rFonts w:eastAsia="MS Mincho"/>
        </w:rPr>
        <w:t>)</w:t>
      </w:r>
      <w:r w:rsidR="00CC69FC">
        <w:rPr>
          <w:rFonts w:eastAsia="MS Mincho"/>
        </w:rPr>
        <w:t>, et, la constitution d’</w:t>
      </w:r>
      <w:r w:rsidR="00CC69FC" w:rsidRPr="006047AA">
        <w:rPr>
          <w:i/>
          <w:lang w:val="en-US"/>
        </w:rPr>
        <w:t>Integrated Food Energy System</w:t>
      </w:r>
      <w:r w:rsidR="00CC69FC" w:rsidRPr="006047AA">
        <w:rPr>
          <w:i/>
        </w:rPr>
        <w:t xml:space="preserve"> </w:t>
      </w:r>
      <w:r w:rsidR="00CC69FC">
        <w:t xml:space="preserve">(IFES) </w:t>
      </w:r>
      <w:r w:rsidR="00CC69FC">
        <w:rPr>
          <w:rFonts w:eastAsia="MS Mincho"/>
        </w:rPr>
        <w:t xml:space="preserve">(Sachs et </w:t>
      </w:r>
      <w:proofErr w:type="spellStart"/>
      <w:r w:rsidR="00CC69FC">
        <w:rPr>
          <w:rFonts w:eastAsia="MS Mincho"/>
        </w:rPr>
        <w:t>Silk</w:t>
      </w:r>
      <w:proofErr w:type="spellEnd"/>
      <w:r w:rsidR="00CC69FC">
        <w:rPr>
          <w:rFonts w:eastAsia="MS Mincho"/>
        </w:rPr>
        <w:t>, 1990) d’autre part, sont alors présentés comme des processus avancés de bouclage des flux de matières et d’énergie au sein de systèmes socio-écologiques localisés.</w:t>
      </w:r>
    </w:p>
    <w:p w:rsidR="00CC69FC" w:rsidRDefault="00CC69FC" w:rsidP="00CC69FC">
      <w:r>
        <w:t>Ainsi, les</w:t>
      </w:r>
      <w:r w:rsidRPr="00B6708F">
        <w:t xml:space="preserve"> paysans, petits producteurs</w:t>
      </w:r>
      <w:r>
        <w:t xml:space="preserve"> nicaraguayens</w:t>
      </w:r>
      <w:r w:rsidRPr="00B6708F">
        <w:t>, mettent peu à peu en place des systèmes de cultures</w:t>
      </w:r>
      <w:r>
        <w:t xml:space="preserve"> mieux intégrés à leurs environnements naturels et sociaux, en s’appliquant notamment à valoriser les synergies existantes entre les différents types de cultures et à réutiliser les sous-produits agricoles. Cette approche mène également à</w:t>
      </w:r>
      <w:r w:rsidRPr="007B735E">
        <w:t xml:space="preserve"> l’exploitation</w:t>
      </w:r>
      <w:r>
        <w:rPr>
          <w:color w:val="548DD4" w:themeColor="text2" w:themeTint="99"/>
        </w:rPr>
        <w:t xml:space="preserve"> </w:t>
      </w:r>
      <w:r>
        <w:t>de synergies plus complexes, qui transcendent les cloisonnements sectoriels traditionnels,</w:t>
      </w:r>
      <w:r w:rsidRPr="007B735E">
        <w:t xml:space="preserve"> par exemple la</w:t>
      </w:r>
      <w:r>
        <w:t xml:space="preserve"> production conjointe d’aliment et d’énergie au sein des agroécosystèmes.</w:t>
      </w:r>
    </w:p>
    <w:p w:rsidR="00CC69FC" w:rsidRDefault="00CC69FC" w:rsidP="00CC69FC">
      <w:r w:rsidRPr="006047AA">
        <w:t>L’</w:t>
      </w:r>
      <w:r>
        <w:t xml:space="preserve">IFES vise </w:t>
      </w:r>
      <w:r w:rsidRPr="007B735E">
        <w:t>en effet à</w:t>
      </w:r>
      <w:r>
        <w:t xml:space="preserve"> maximiser les synergies entre activités de cultures et d’élevage, d’une part, et, la production d’énergies renouvelables</w:t>
      </w:r>
      <w:r w:rsidRPr="006047AA">
        <w:t xml:space="preserve"> </w:t>
      </w:r>
      <w:r>
        <w:t xml:space="preserve">d’autre part. La forme la plus élémentaire d’IFES (Type 1) correspond à des systèmes de polycultures ou d’agroforesterie permettant de produire, sur les mêmes parcelles, des matières premières alimentaires et énergétiques (biomasse). A un niveau plus évolué (Type 2), le recours à des technologies agroindustrielles, telles que les biodigesteurs, permettent la réutilisation des sous-produits agricoles et leur valorisation sous forme d’énergie et d’engrais (Bogdanski et </w:t>
      </w:r>
      <w:proofErr w:type="gramStart"/>
      <w:r w:rsidRPr="00AA6D2C">
        <w:rPr>
          <w:i/>
        </w:rPr>
        <w:t>al.,</w:t>
      </w:r>
      <w:proofErr w:type="gramEnd"/>
      <w:r>
        <w:t xml:space="preserve"> 2011</w:t>
      </w:r>
      <w:r w:rsidRPr="008528B4">
        <w:t>).</w:t>
      </w:r>
      <w:r>
        <w:t xml:space="preserve"> </w:t>
      </w:r>
    </w:p>
    <w:p w:rsidR="006A1529" w:rsidRDefault="00373193" w:rsidP="003F154E">
      <w:pPr>
        <w:rPr>
          <w:rFonts w:eastAsia="MS Mincho"/>
        </w:rPr>
      </w:pPr>
      <w:r>
        <w:rPr>
          <w:rFonts w:eastAsia="MS Mincho"/>
        </w:rPr>
        <w:t>D’un côté, c</w:t>
      </w:r>
      <w:r w:rsidR="00CC69FC">
        <w:rPr>
          <w:rFonts w:eastAsia="MS Mincho"/>
        </w:rPr>
        <w:t xml:space="preserve">es processus observés </w:t>
      </w:r>
      <w:r>
        <w:rPr>
          <w:rFonts w:eastAsia="MS Mincho"/>
        </w:rPr>
        <w:t>peuvent être vus comme</w:t>
      </w:r>
      <w:r w:rsidR="00CC69FC">
        <w:rPr>
          <w:rFonts w:eastAsia="MS Mincho"/>
        </w:rPr>
        <w:t xml:space="preserve"> des </w:t>
      </w:r>
      <w:r>
        <w:rPr>
          <w:rFonts w:eastAsia="MS Mincho"/>
        </w:rPr>
        <w:t>tentatives fructueuses de bouclage des flux de matière et d’énergie à partir du secteur agricole, pouvant nourrir des réflexions en termes d’écologie industrielle et territorial, et</w:t>
      </w:r>
      <w:r w:rsidR="00E80643">
        <w:rPr>
          <w:rFonts w:eastAsia="MS Mincho"/>
        </w:rPr>
        <w:t>,</w:t>
      </w:r>
      <w:r>
        <w:rPr>
          <w:rFonts w:eastAsia="MS Mincho"/>
        </w:rPr>
        <w:t xml:space="preserve"> de transition écologique, social et culturelle. D’un autre côté, ils peuvent être </w:t>
      </w:r>
      <w:r w:rsidR="00E80643">
        <w:rPr>
          <w:rFonts w:eastAsia="MS Mincho"/>
        </w:rPr>
        <w:t>appréhendés</w:t>
      </w:r>
      <w:r>
        <w:rPr>
          <w:rFonts w:eastAsia="MS Mincho"/>
        </w:rPr>
        <w:t xml:space="preserve"> comme des formes plus embryonnaire</w:t>
      </w:r>
      <w:r w:rsidR="00E80643">
        <w:rPr>
          <w:rFonts w:eastAsia="MS Mincho"/>
        </w:rPr>
        <w:t>s</w:t>
      </w:r>
      <w:r>
        <w:rPr>
          <w:rFonts w:eastAsia="MS Mincho"/>
        </w:rPr>
        <w:t xml:space="preserve"> de bouclage des flux de matière</w:t>
      </w:r>
      <w:r w:rsidR="00E80643">
        <w:rPr>
          <w:rFonts w:eastAsia="MS Mincho"/>
        </w:rPr>
        <w:t>s</w:t>
      </w:r>
      <w:r>
        <w:rPr>
          <w:rFonts w:eastAsia="MS Mincho"/>
        </w:rPr>
        <w:t xml:space="preserve"> et d’énergie, </w:t>
      </w:r>
      <w:r w:rsidR="00E80643">
        <w:rPr>
          <w:rFonts w:eastAsia="MS Mincho"/>
        </w:rPr>
        <w:t>dont le rapprochement avec des démarches d’</w:t>
      </w:r>
      <w:r w:rsidR="00C909E8">
        <w:rPr>
          <w:rFonts w:eastAsia="MS Mincho"/>
        </w:rPr>
        <w:t xml:space="preserve">EIT </w:t>
      </w:r>
      <w:r w:rsidR="00E80643">
        <w:rPr>
          <w:rFonts w:eastAsia="MS Mincho"/>
        </w:rPr>
        <w:t>pourrait permettre l’élargissement, notamment dans un premier temps vers certaines agro-industries, et la généralisation.</w:t>
      </w:r>
      <w:r>
        <w:rPr>
          <w:rFonts w:eastAsia="MS Mincho"/>
        </w:rPr>
        <w:t xml:space="preserve"> </w:t>
      </w:r>
      <w:r w:rsidR="00E80643">
        <w:rPr>
          <w:rFonts w:eastAsia="MS Mincho"/>
        </w:rPr>
        <w:t>Dans un cas comme dans l’autre, de nouvelles perspectives de recherches sont ouvertes dans le champ de l’</w:t>
      </w:r>
      <w:r w:rsidR="00AB12DC">
        <w:rPr>
          <w:rFonts w:eastAsia="MS Mincho"/>
        </w:rPr>
        <w:t>EIT</w:t>
      </w:r>
      <w:r w:rsidR="00E80643">
        <w:rPr>
          <w:rFonts w:eastAsia="MS Mincho"/>
        </w:rPr>
        <w:t>.</w:t>
      </w:r>
    </w:p>
    <w:p w:rsidR="00E80643" w:rsidRDefault="00523712" w:rsidP="003F154E">
      <w:pPr>
        <w:rPr>
          <w:rFonts w:eastAsia="MS Mincho"/>
        </w:rPr>
      </w:pPr>
      <w:r>
        <w:rPr>
          <w:rFonts w:eastAsia="MS Mincho"/>
        </w:rPr>
        <w:t>L’EIT est envisagée ici dans sa version « hétérodoxe »</w:t>
      </w:r>
      <w:r w:rsidR="00E74DBE">
        <w:rPr>
          <w:rFonts w:eastAsia="MS Mincho"/>
        </w:rPr>
        <w:t xml:space="preserve"> (</w:t>
      </w:r>
      <w:proofErr w:type="spellStart"/>
      <w:r w:rsidR="00E74DBE">
        <w:rPr>
          <w:rFonts w:eastAsia="MS Mincho"/>
        </w:rPr>
        <w:t>Ehrenfeld</w:t>
      </w:r>
      <w:proofErr w:type="spellEnd"/>
      <w:r w:rsidR="00E74DBE">
        <w:rPr>
          <w:rFonts w:eastAsia="MS Mincho"/>
        </w:rPr>
        <w:t>, 2004)</w:t>
      </w:r>
      <w:r>
        <w:rPr>
          <w:rFonts w:eastAsia="MS Mincho"/>
        </w:rPr>
        <w:t>, c’est-à-dire faisant appel à une approche « </w:t>
      </w:r>
      <w:r w:rsidRPr="00523712">
        <w:rPr>
          <w:rFonts w:eastAsia="MS Mincho"/>
          <w:i/>
        </w:rPr>
        <w:t>socio-économique de l’EI</w:t>
      </w:r>
      <w:r>
        <w:rPr>
          <w:rFonts w:eastAsia="MS Mincho"/>
        </w:rPr>
        <w:t> », explicitement qualitative, normative, et en durabilité forte (Metereau et Figuière</w:t>
      </w:r>
      <w:r w:rsidR="00954156">
        <w:rPr>
          <w:rFonts w:eastAsia="MS Mincho"/>
        </w:rPr>
        <w:t>,</w:t>
      </w:r>
      <w:r>
        <w:rPr>
          <w:rFonts w:eastAsia="MS Mincho"/>
        </w:rPr>
        <w:t xml:space="preserve"> 2014</w:t>
      </w:r>
      <w:r w:rsidR="00954156">
        <w:rPr>
          <w:rFonts w:eastAsia="MS Mincho"/>
        </w:rPr>
        <w:t>a</w:t>
      </w:r>
      <w:r>
        <w:rPr>
          <w:rFonts w:eastAsia="MS Mincho"/>
        </w:rPr>
        <w:t xml:space="preserve">). Considérant l’enracinement social et culturel des flux de matières et d’énergie dans un système </w:t>
      </w:r>
      <w:r w:rsidR="00954156">
        <w:rPr>
          <w:rFonts w:eastAsia="MS Mincho"/>
        </w:rPr>
        <w:t>socio-</w:t>
      </w:r>
      <w:r>
        <w:rPr>
          <w:rFonts w:eastAsia="MS Mincho"/>
        </w:rPr>
        <w:t>écologique</w:t>
      </w:r>
      <w:r w:rsidR="00954156">
        <w:rPr>
          <w:rFonts w:eastAsia="MS Mincho"/>
        </w:rPr>
        <w:t xml:space="preserve"> (</w:t>
      </w:r>
      <w:proofErr w:type="spellStart"/>
      <w:r w:rsidR="00954156">
        <w:rPr>
          <w:rFonts w:eastAsia="MS Mincho"/>
        </w:rPr>
        <w:t>Boons</w:t>
      </w:r>
      <w:proofErr w:type="spellEnd"/>
      <w:r w:rsidR="006017D1">
        <w:rPr>
          <w:rFonts w:eastAsia="MS Mincho"/>
        </w:rPr>
        <w:t xml:space="preserve"> et</w:t>
      </w:r>
      <w:r w:rsidR="00954156" w:rsidRPr="00954156">
        <w:rPr>
          <w:rFonts w:eastAsia="MS Mincho"/>
        </w:rPr>
        <w:t xml:space="preserve"> Howard-Grenville</w:t>
      </w:r>
      <w:r w:rsidR="00954156">
        <w:rPr>
          <w:rFonts w:eastAsia="MS Mincho"/>
        </w:rPr>
        <w:t xml:space="preserve">, 2009), le bouclage de ces flux est moins considéré comme un problème technique, que comme un problème </w:t>
      </w:r>
      <w:r w:rsidR="00BA2C7F">
        <w:rPr>
          <w:rFonts w:eastAsia="MS Mincho"/>
        </w:rPr>
        <w:t>organisationnel et structurel, amenant à repenser en profondeur un modèle de développement incompatible avec les limites intrinsèque</w:t>
      </w:r>
      <w:r w:rsidR="00FF7096">
        <w:rPr>
          <w:rFonts w:eastAsia="MS Mincho"/>
        </w:rPr>
        <w:t>s</w:t>
      </w:r>
      <w:bookmarkStart w:id="0" w:name="_GoBack"/>
      <w:bookmarkEnd w:id="0"/>
      <w:r w:rsidR="00BA2C7F">
        <w:rPr>
          <w:rFonts w:eastAsia="MS Mincho"/>
        </w:rPr>
        <w:t xml:space="preserve"> de la biosphère.</w:t>
      </w:r>
    </w:p>
    <w:p w:rsidR="00A019DD" w:rsidRDefault="00BA2C7F">
      <w:pPr>
        <w:pStyle w:val="Titre1"/>
        <w:rPr>
          <w:rFonts w:eastAsia="MS Mincho"/>
        </w:rPr>
      </w:pPr>
      <w:r>
        <w:rPr>
          <w:rFonts w:eastAsia="MS Mincho"/>
        </w:rPr>
        <w:t>E</w:t>
      </w:r>
      <w:r w:rsidR="00A02E85">
        <w:rPr>
          <w:rFonts w:eastAsia="MS Mincho"/>
        </w:rPr>
        <w:t>xtrait de bibliographie</w:t>
      </w:r>
      <w:r w:rsidR="00153C4D">
        <w:rPr>
          <w:rFonts w:eastAsia="MS Mincho"/>
        </w:rPr>
        <w:t xml:space="preserve"> </w:t>
      </w:r>
    </w:p>
    <w:p w:rsidR="00577DFF" w:rsidRPr="00577DFF" w:rsidRDefault="00577DFF" w:rsidP="00577DFF">
      <w:pPr>
        <w:pStyle w:val="Reference"/>
        <w:rPr>
          <w:bCs/>
          <w:lang w:val="en-US"/>
        </w:rPr>
      </w:pPr>
      <w:r w:rsidRPr="00577DFF">
        <w:rPr>
          <w:bCs/>
          <w:lang w:val="en-US"/>
        </w:rPr>
        <w:t xml:space="preserve">Altieri M. A., 1989, « Agroecology: a new research and development paradigm for world agriculture », </w:t>
      </w:r>
      <w:r w:rsidRPr="00577DFF">
        <w:rPr>
          <w:bCs/>
          <w:i/>
          <w:lang w:val="en-US"/>
        </w:rPr>
        <w:t xml:space="preserve">Agriculture, Ecosystems and Environment, </w:t>
      </w:r>
      <w:r w:rsidRPr="00577DFF">
        <w:rPr>
          <w:bCs/>
          <w:lang w:val="en-US"/>
        </w:rPr>
        <w:t>n° 27, p. 37-46.</w:t>
      </w:r>
    </w:p>
    <w:p w:rsidR="00577DFF" w:rsidRDefault="00577DFF" w:rsidP="00577DFF">
      <w:pPr>
        <w:pStyle w:val="Reference"/>
        <w:rPr>
          <w:bCs/>
          <w:lang w:val="en-US"/>
        </w:rPr>
      </w:pPr>
      <w:r w:rsidRPr="00577DFF">
        <w:rPr>
          <w:bCs/>
          <w:lang w:val="en-US"/>
        </w:rPr>
        <w:t xml:space="preserve">Bogdanski A., Dubois O., Jamieson C., Krell R., 2011, “Making integrated food-energy systems work for people and climate”, </w:t>
      </w:r>
      <w:r w:rsidRPr="00577DFF">
        <w:rPr>
          <w:bCs/>
          <w:i/>
          <w:lang w:val="en-US"/>
        </w:rPr>
        <w:t>Environment and natural resources management Working Paper</w:t>
      </w:r>
      <w:r w:rsidRPr="00577DFF">
        <w:rPr>
          <w:bCs/>
          <w:lang w:val="en-US"/>
        </w:rPr>
        <w:t>, n°45, FAO, Rome, 121 p.</w:t>
      </w:r>
    </w:p>
    <w:p w:rsidR="006017D1" w:rsidRDefault="006017D1" w:rsidP="006017D1">
      <w:pPr>
        <w:pStyle w:val="Reference"/>
        <w:rPr>
          <w:rFonts w:eastAsia="MS Mincho"/>
          <w:lang w:val="en-US"/>
        </w:rPr>
      </w:pPr>
      <w:proofErr w:type="gramStart"/>
      <w:r w:rsidRPr="00AA7E6C">
        <w:rPr>
          <w:rFonts w:eastAsia="MS Mincho"/>
          <w:lang w:val="en-US"/>
        </w:rPr>
        <w:t>Boons F., H</w:t>
      </w:r>
      <w:r>
        <w:rPr>
          <w:rFonts w:eastAsia="MS Mincho"/>
          <w:lang w:val="en-US"/>
        </w:rPr>
        <w:t>oward-G</w:t>
      </w:r>
      <w:r w:rsidRPr="00AA7E6C">
        <w:rPr>
          <w:rFonts w:eastAsia="MS Mincho"/>
          <w:lang w:val="en-US"/>
        </w:rPr>
        <w:t xml:space="preserve">renville J., 2009, </w:t>
      </w:r>
      <w:r>
        <w:rPr>
          <w:rFonts w:eastAsia="MS Mincho"/>
          <w:lang w:val="en-US"/>
        </w:rPr>
        <w:t>“</w:t>
      </w:r>
      <w:r w:rsidRPr="00AA7E6C">
        <w:rPr>
          <w:rFonts w:eastAsia="MS Mincho"/>
          <w:lang w:val="en-US"/>
        </w:rPr>
        <w:t xml:space="preserve">Introducing the social </w:t>
      </w:r>
      <w:proofErr w:type="spellStart"/>
      <w:r w:rsidRPr="00AA7E6C">
        <w:rPr>
          <w:rFonts w:eastAsia="MS Mincho"/>
          <w:lang w:val="en-US"/>
        </w:rPr>
        <w:t>embeddedness</w:t>
      </w:r>
      <w:proofErr w:type="spellEnd"/>
      <w:r w:rsidRPr="00AA7E6C">
        <w:rPr>
          <w:rFonts w:eastAsia="MS Mincho"/>
          <w:lang w:val="en-US"/>
        </w:rPr>
        <w:t xml:space="preserve"> of industrial ecology</w:t>
      </w:r>
      <w:r>
        <w:rPr>
          <w:rFonts w:eastAsia="MS Mincho"/>
          <w:lang w:val="en-US"/>
        </w:rPr>
        <w:t>”</w:t>
      </w:r>
      <w:r w:rsidRPr="00AA7E6C">
        <w:rPr>
          <w:rFonts w:eastAsia="MS Mincho"/>
          <w:lang w:val="en-US"/>
        </w:rPr>
        <w:t>,</w:t>
      </w:r>
      <w:r w:rsidRPr="00AA7E6C">
        <w:rPr>
          <w:rFonts w:eastAsia="MS Mincho"/>
          <w:i/>
          <w:lang w:val="en-US"/>
        </w:rPr>
        <w:t xml:space="preserve"> in</w:t>
      </w:r>
      <w:r>
        <w:rPr>
          <w:rFonts w:eastAsia="MS Mincho"/>
          <w:i/>
          <w:lang w:val="en-US"/>
        </w:rPr>
        <w:t>.</w:t>
      </w:r>
      <w:proofErr w:type="gramEnd"/>
      <w:r w:rsidRPr="00AA7E6C">
        <w:rPr>
          <w:rFonts w:eastAsia="MS Mincho"/>
          <w:lang w:val="en-US"/>
        </w:rPr>
        <w:t xml:space="preserve"> Boons F., Howard-Grenville J. (eds.) </w:t>
      </w:r>
      <w:proofErr w:type="gramStart"/>
      <w:r w:rsidRPr="00AA7E6C">
        <w:rPr>
          <w:rFonts w:eastAsia="MS Mincho"/>
          <w:i/>
          <w:lang w:val="en-US"/>
        </w:rPr>
        <w:t>The</w:t>
      </w:r>
      <w:proofErr w:type="gramEnd"/>
      <w:r w:rsidRPr="00AA7E6C">
        <w:rPr>
          <w:rFonts w:eastAsia="MS Mincho"/>
          <w:i/>
          <w:lang w:val="en-US"/>
        </w:rPr>
        <w:t xml:space="preserve"> Social </w:t>
      </w:r>
      <w:proofErr w:type="spellStart"/>
      <w:r w:rsidRPr="00AA7E6C">
        <w:rPr>
          <w:rFonts w:eastAsia="MS Mincho"/>
          <w:i/>
          <w:lang w:val="en-US"/>
        </w:rPr>
        <w:t>Embeddedness</w:t>
      </w:r>
      <w:proofErr w:type="spellEnd"/>
      <w:r w:rsidRPr="00AA7E6C">
        <w:rPr>
          <w:rFonts w:eastAsia="MS Mincho"/>
          <w:i/>
          <w:lang w:val="en-US"/>
        </w:rPr>
        <w:t xml:space="preserve"> of Industrial Ecology</w:t>
      </w:r>
      <w:r w:rsidRPr="00AA7E6C">
        <w:rPr>
          <w:rFonts w:eastAsia="MS Mincho"/>
          <w:lang w:val="en-US"/>
        </w:rPr>
        <w:t>, Edward Elgar, Cheltenham, p. 3-27.</w:t>
      </w:r>
    </w:p>
    <w:p w:rsidR="006017D1" w:rsidRPr="006017D1" w:rsidRDefault="006017D1" w:rsidP="006017D1">
      <w:pPr>
        <w:pStyle w:val="Reference"/>
        <w:rPr>
          <w:rFonts w:eastAsia="MS Mincho"/>
          <w:lang w:val="en-US"/>
        </w:rPr>
      </w:pPr>
      <w:proofErr w:type="spellStart"/>
      <w:r w:rsidRPr="006017D1">
        <w:rPr>
          <w:rFonts w:eastAsia="MS Mincho"/>
          <w:lang w:val="en-US"/>
        </w:rPr>
        <w:t>Ehrenfeld</w:t>
      </w:r>
      <w:proofErr w:type="spellEnd"/>
      <w:r w:rsidRPr="006017D1">
        <w:rPr>
          <w:rFonts w:eastAsia="MS Mincho"/>
          <w:lang w:val="en-US"/>
        </w:rPr>
        <w:t xml:space="preserve"> J.R., 2004, “Industrial ecology: a new field or only a metaphor?</w:t>
      </w:r>
      <w:proofErr w:type="gramStart"/>
      <w:r w:rsidRPr="006017D1">
        <w:rPr>
          <w:rFonts w:eastAsia="MS Mincho"/>
          <w:lang w:val="en-US"/>
        </w:rPr>
        <w:t>”,</w:t>
      </w:r>
      <w:proofErr w:type="gramEnd"/>
      <w:r w:rsidRPr="006017D1">
        <w:rPr>
          <w:rFonts w:eastAsia="MS Mincho"/>
          <w:lang w:val="en-US"/>
        </w:rPr>
        <w:t xml:space="preserve"> Journal of Cleaner Production, n° 12, p. 825-831</w:t>
      </w:r>
    </w:p>
    <w:p w:rsidR="00E74DBE" w:rsidRDefault="00E74DBE" w:rsidP="00E74DBE">
      <w:pPr>
        <w:pStyle w:val="Reference"/>
        <w:rPr>
          <w:bCs/>
        </w:rPr>
      </w:pPr>
      <w:r w:rsidRPr="00E74DBE">
        <w:rPr>
          <w:bCs/>
        </w:rPr>
        <w:t>Larroa R. M., 2010, “</w:t>
      </w:r>
      <w:r w:rsidRPr="00E74DBE">
        <w:rPr>
          <w:bCs/>
          <w:lang w:val="es-ES"/>
        </w:rPr>
        <w:t>El SIAL y sus diferencias con el enfoque del desarrollo territorial en América Latina”,</w:t>
      </w:r>
      <w:r w:rsidRPr="00E74DBE">
        <w:rPr>
          <w:bCs/>
        </w:rPr>
        <w:t xml:space="preserve"> </w:t>
      </w:r>
      <w:r w:rsidRPr="00E74DBE">
        <w:rPr>
          <w:bCs/>
          <w:i/>
        </w:rPr>
        <w:t xml:space="preserve">16th EAAE </w:t>
      </w:r>
      <w:proofErr w:type="spellStart"/>
      <w:r w:rsidRPr="00E74DBE">
        <w:rPr>
          <w:bCs/>
          <w:i/>
        </w:rPr>
        <w:t>Seminar</w:t>
      </w:r>
      <w:proofErr w:type="spellEnd"/>
      <w:r w:rsidRPr="00E74DBE">
        <w:rPr>
          <w:bCs/>
          <w:i/>
        </w:rPr>
        <w:t xml:space="preserve">: Spatial </w:t>
      </w:r>
      <w:proofErr w:type="spellStart"/>
      <w:r w:rsidRPr="00E74DBE">
        <w:rPr>
          <w:bCs/>
          <w:i/>
        </w:rPr>
        <w:t>dynamics</w:t>
      </w:r>
      <w:proofErr w:type="spellEnd"/>
      <w:r w:rsidRPr="00E74DBE">
        <w:rPr>
          <w:bCs/>
          <w:i/>
        </w:rPr>
        <w:t xml:space="preserve"> in </w:t>
      </w:r>
      <w:proofErr w:type="spellStart"/>
      <w:r w:rsidRPr="00E74DBE">
        <w:rPr>
          <w:bCs/>
          <w:i/>
        </w:rPr>
        <w:t>agri-food</w:t>
      </w:r>
      <w:proofErr w:type="spellEnd"/>
      <w:r w:rsidRPr="00E74DBE">
        <w:rPr>
          <w:bCs/>
          <w:i/>
        </w:rPr>
        <w:t xml:space="preserve"> </w:t>
      </w:r>
      <w:proofErr w:type="spellStart"/>
      <w:r w:rsidRPr="00E74DBE">
        <w:rPr>
          <w:bCs/>
          <w:i/>
        </w:rPr>
        <w:t>systems</w:t>
      </w:r>
      <w:proofErr w:type="spellEnd"/>
      <w:r w:rsidRPr="00E74DBE">
        <w:rPr>
          <w:bCs/>
          <w:i/>
        </w:rPr>
        <w:t xml:space="preserve">: implications for </w:t>
      </w:r>
      <w:proofErr w:type="spellStart"/>
      <w:r w:rsidRPr="00E74DBE">
        <w:rPr>
          <w:bCs/>
          <w:i/>
        </w:rPr>
        <w:t>sustainability</w:t>
      </w:r>
      <w:proofErr w:type="spellEnd"/>
      <w:r w:rsidRPr="00E74DBE">
        <w:rPr>
          <w:bCs/>
          <w:i/>
        </w:rPr>
        <w:t xml:space="preserve"> and consumer </w:t>
      </w:r>
      <w:proofErr w:type="spellStart"/>
      <w:r w:rsidRPr="00E74DBE">
        <w:rPr>
          <w:bCs/>
          <w:i/>
        </w:rPr>
        <w:t>welfare</w:t>
      </w:r>
      <w:proofErr w:type="spellEnd"/>
      <w:r w:rsidRPr="00E74DBE">
        <w:rPr>
          <w:bCs/>
        </w:rPr>
        <w:t xml:space="preserve">, Parma, 27-30 </w:t>
      </w:r>
      <w:proofErr w:type="spellStart"/>
      <w:r w:rsidRPr="00E74DBE">
        <w:rPr>
          <w:bCs/>
        </w:rPr>
        <w:t>October</w:t>
      </w:r>
      <w:proofErr w:type="spellEnd"/>
      <w:r w:rsidRPr="00E74DBE">
        <w:rPr>
          <w:bCs/>
        </w:rPr>
        <w:t>, 9 p.</w:t>
      </w:r>
    </w:p>
    <w:p w:rsidR="006017D1" w:rsidRDefault="006017D1" w:rsidP="006017D1">
      <w:pPr>
        <w:pStyle w:val="Reference"/>
      </w:pPr>
      <w:r w:rsidRPr="000451A8">
        <w:t>Metereau R., F</w:t>
      </w:r>
      <w:r>
        <w:t>iguiè</w:t>
      </w:r>
      <w:r w:rsidRPr="000451A8">
        <w:t>re</w:t>
      </w:r>
      <w:r>
        <w:t xml:space="preserve"> C., </w:t>
      </w:r>
      <w:r w:rsidRPr="000451A8">
        <w:t>201</w:t>
      </w:r>
      <w:r>
        <w:t>4</w:t>
      </w:r>
      <w:r w:rsidRPr="000451A8">
        <w:t xml:space="preserve">, « Au carrefour de l’écologie industrielle et du Syal, premiers jalons pour faire progresser la durabilité d’un développement rural localisé », </w:t>
      </w:r>
      <w:r w:rsidRPr="00202D20">
        <w:rPr>
          <w:i/>
        </w:rPr>
        <w:t>Revue Développement durable et territoire</w:t>
      </w:r>
      <w:r>
        <w:t>, v</w:t>
      </w:r>
      <w:r w:rsidRPr="002616E1">
        <w:t>ol. 5</w:t>
      </w:r>
      <w:r>
        <w:t xml:space="preserve">, </w:t>
      </w:r>
      <w:r w:rsidRPr="002616E1">
        <w:t xml:space="preserve"> n°1</w:t>
      </w:r>
      <w:r>
        <w:t xml:space="preserve">, février, 18 p. </w:t>
      </w:r>
    </w:p>
    <w:p w:rsidR="006017D1" w:rsidRDefault="006017D1" w:rsidP="006017D1">
      <w:pPr>
        <w:pStyle w:val="Reference"/>
      </w:pPr>
      <w:r>
        <w:t>Metereau R., Figuière C., 2014, « D</w:t>
      </w:r>
      <w:r w:rsidRPr="008C2237">
        <w:t>es stratégies collectives d'écodéveloppement. L’exemple des "Syal-coopératives" au Nicaragua</w:t>
      </w:r>
      <w:r>
        <w:t xml:space="preserve">», </w:t>
      </w:r>
      <w:r w:rsidRPr="008C2237">
        <w:rPr>
          <w:i/>
        </w:rPr>
        <w:t>Colloque « Ethique, entrepreneuriat et développement »</w:t>
      </w:r>
      <w:r>
        <w:t xml:space="preserve">, </w:t>
      </w:r>
      <w:r w:rsidRPr="007D62CA">
        <w:t>XXX</w:t>
      </w:r>
      <w:r w:rsidRPr="007D62CA">
        <w:rPr>
          <w:vertAlign w:val="superscript"/>
        </w:rPr>
        <w:t>ème</w:t>
      </w:r>
      <w:r w:rsidRPr="007D62CA">
        <w:t xml:space="preserve"> Journées </w:t>
      </w:r>
      <w:r>
        <w:t xml:space="preserve">de l’Association Tiers-Monde, Université Cadi </w:t>
      </w:r>
      <w:proofErr w:type="spellStart"/>
      <w:r>
        <w:t>Ayyad</w:t>
      </w:r>
      <w:proofErr w:type="spellEnd"/>
      <w:r>
        <w:t>, Marrakech, 29-31 mai, 18 p.</w:t>
      </w:r>
    </w:p>
    <w:p w:rsidR="00E74DBE" w:rsidRPr="00E74DBE" w:rsidRDefault="00E74DBE" w:rsidP="00E74DBE">
      <w:pPr>
        <w:pStyle w:val="Reference"/>
        <w:rPr>
          <w:bCs/>
          <w:lang w:val="en-US"/>
        </w:rPr>
      </w:pPr>
      <w:proofErr w:type="spellStart"/>
      <w:r w:rsidRPr="00E74DBE">
        <w:rPr>
          <w:bCs/>
          <w:lang w:val="en-US"/>
        </w:rPr>
        <w:t>Petras</w:t>
      </w:r>
      <w:proofErr w:type="spellEnd"/>
      <w:r w:rsidRPr="00E74DBE">
        <w:rPr>
          <w:bCs/>
          <w:lang w:val="en-US"/>
        </w:rPr>
        <w:t xml:space="preserve"> J., </w:t>
      </w:r>
      <w:proofErr w:type="spellStart"/>
      <w:r w:rsidRPr="00E74DBE">
        <w:rPr>
          <w:bCs/>
          <w:lang w:val="en-US"/>
        </w:rPr>
        <w:t>Veltmeyer</w:t>
      </w:r>
      <w:proofErr w:type="spellEnd"/>
      <w:r w:rsidRPr="00E74DBE">
        <w:rPr>
          <w:bCs/>
          <w:lang w:val="en-US"/>
        </w:rPr>
        <w:t xml:space="preserve"> H., 2001, “Are Latin American peasant movements still a force for change? </w:t>
      </w:r>
      <w:proofErr w:type="gramStart"/>
      <w:r w:rsidRPr="00E74DBE">
        <w:rPr>
          <w:bCs/>
          <w:lang w:val="en-US"/>
        </w:rPr>
        <w:t>Some new paradigms revisited”,</w:t>
      </w:r>
      <w:r w:rsidRPr="00E74DBE">
        <w:rPr>
          <w:bCs/>
          <w:i/>
          <w:lang w:val="en-US"/>
        </w:rPr>
        <w:t xml:space="preserve"> The Journal of Peasant Studies, </w:t>
      </w:r>
      <w:r w:rsidRPr="00E74DBE">
        <w:rPr>
          <w:bCs/>
          <w:lang w:val="en-US"/>
        </w:rPr>
        <w:t>vol. 28, n° 2, p. 83-118.</w:t>
      </w:r>
      <w:proofErr w:type="gramEnd"/>
    </w:p>
    <w:p w:rsidR="00E74DBE" w:rsidRPr="00E74DBE" w:rsidRDefault="00E74DBE" w:rsidP="00E74DBE">
      <w:pPr>
        <w:pStyle w:val="Reference"/>
        <w:rPr>
          <w:bCs/>
          <w:lang w:val="en-US"/>
        </w:rPr>
      </w:pPr>
      <w:r w:rsidRPr="00E74DBE">
        <w:rPr>
          <w:bCs/>
          <w:lang w:val="en-US"/>
        </w:rPr>
        <w:t xml:space="preserve">Sachs I., Silk D., 1990, </w:t>
      </w:r>
      <w:r w:rsidRPr="00E74DBE">
        <w:rPr>
          <w:bCs/>
          <w:i/>
          <w:lang w:val="en-US"/>
        </w:rPr>
        <w:t>Food and Energy: Strategies for sustainable development</w:t>
      </w:r>
      <w:r w:rsidRPr="00E74DBE">
        <w:rPr>
          <w:bCs/>
          <w:lang w:val="en-US"/>
        </w:rPr>
        <w:t>, United Nation University Press, Tokyo, 83 p.</w:t>
      </w:r>
    </w:p>
    <w:p w:rsidR="00E74DBE" w:rsidRPr="002D7E2F" w:rsidRDefault="00E74DBE" w:rsidP="00E74DBE">
      <w:pPr>
        <w:pStyle w:val="Reference"/>
        <w:rPr>
          <w:rFonts w:eastAsia="MS Mincho"/>
          <w:bCs/>
          <w:lang w:val="en-US"/>
        </w:rPr>
      </w:pPr>
      <w:r w:rsidRPr="00597340">
        <w:rPr>
          <w:lang w:val="es-ES_tradnl"/>
        </w:rPr>
        <w:t xml:space="preserve">Sevilla Guzmán E., 2002, </w:t>
      </w:r>
      <w:r w:rsidRPr="00597340">
        <w:rPr>
          <w:lang w:val="es-ES"/>
        </w:rPr>
        <w:t>« </w:t>
      </w:r>
      <w:r w:rsidRPr="00597340">
        <w:rPr>
          <w:lang w:val="es-ES_tradnl"/>
        </w:rPr>
        <w:t>Agroecología y desarrollo rural sustentable: una propuesta desde Latino América</w:t>
      </w:r>
      <w:r w:rsidRPr="00597340">
        <w:rPr>
          <w:lang w:val="es-ES"/>
        </w:rPr>
        <w:t xml:space="preserve"> », </w:t>
      </w:r>
      <w:r w:rsidRPr="00597340">
        <w:rPr>
          <w:i/>
          <w:lang w:val="es-ES"/>
        </w:rPr>
        <w:t>in.</w:t>
      </w:r>
      <w:r w:rsidRPr="00597340">
        <w:rPr>
          <w:lang w:val="es-ES"/>
        </w:rPr>
        <w:t xml:space="preserve"> </w:t>
      </w:r>
      <w:r w:rsidRPr="00597340">
        <w:rPr>
          <w:lang w:val="es-ES_tradnl"/>
        </w:rPr>
        <w:t xml:space="preserve"> Sarandón S. (</w:t>
      </w:r>
      <w:proofErr w:type="spellStart"/>
      <w:r w:rsidRPr="00597340">
        <w:rPr>
          <w:lang w:val="es-ES_tradnl"/>
        </w:rPr>
        <w:t>dir</w:t>
      </w:r>
      <w:r w:rsidRPr="00597340">
        <w:rPr>
          <w:i/>
          <w:lang w:val="es-ES_tradnl"/>
        </w:rPr>
        <w:t>.</w:t>
      </w:r>
      <w:proofErr w:type="spellEnd"/>
      <w:r w:rsidRPr="00FA0FAF">
        <w:rPr>
          <w:lang w:val="es-ES_tradnl"/>
        </w:rPr>
        <w:t>)</w:t>
      </w:r>
      <w:r w:rsidRPr="00597340">
        <w:rPr>
          <w:i/>
          <w:lang w:val="es-ES_tradnl"/>
        </w:rPr>
        <w:t>,  Agroecología. El camino para una agricultura sustentable</w:t>
      </w:r>
      <w:r w:rsidRPr="00597340">
        <w:rPr>
          <w:lang w:val="es-ES_tradnl"/>
        </w:rPr>
        <w:t>, Ediciones Científicas Americanas, La plata, 557 p.</w:t>
      </w:r>
    </w:p>
    <w:p w:rsidR="00DA7528" w:rsidRDefault="00DA7528">
      <w:pPr>
        <w:pStyle w:val="Firstparagraph"/>
        <w:rPr>
          <w:rFonts w:eastAsia="MS Mincho"/>
        </w:rPr>
      </w:pPr>
    </w:p>
    <w:sectPr w:rsidR="00DA7528" w:rsidSect="003E4DBD">
      <w:footerReference w:type="even" r:id="rId11"/>
      <w:footerReference w:type="default" r:id="rId12"/>
      <w:pgSz w:w="11906" w:h="16838" w:code="9"/>
      <w:pgMar w:top="2892" w:right="2495" w:bottom="2948" w:left="2495" w:header="720" w:footer="7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547" w:rsidRDefault="00432547">
      <w:r>
        <w:separator/>
      </w:r>
    </w:p>
  </w:endnote>
  <w:endnote w:type="continuationSeparator" w:id="0">
    <w:p w:rsidR="00432547" w:rsidRDefault="00432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PI Key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9DD" w:rsidRDefault="00A019DD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DA7528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A019DD" w:rsidRDefault="00A019DD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9DD" w:rsidRDefault="00A019DD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DA7528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F7096">
      <w:rPr>
        <w:rStyle w:val="Numrodepage"/>
        <w:noProof/>
      </w:rPr>
      <w:t>3</w:t>
    </w:r>
    <w:r>
      <w:rPr>
        <w:rStyle w:val="Numrodepage"/>
      </w:rPr>
      <w:fldChar w:fldCharType="end"/>
    </w:r>
  </w:p>
  <w:p w:rsidR="00A019DD" w:rsidRDefault="00A019DD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547" w:rsidRDefault="00432547">
      <w:r>
        <w:separator/>
      </w:r>
    </w:p>
  </w:footnote>
  <w:footnote w:type="continuationSeparator" w:id="0">
    <w:p w:rsidR="00432547" w:rsidRDefault="004325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09C3CF8"/>
    <w:lvl w:ilvl="0">
      <w:numFmt w:val="decimal"/>
      <w:lvlText w:val="*"/>
      <w:lvlJc w:val="left"/>
    </w:lvl>
  </w:abstractNum>
  <w:abstractNum w:abstractNumId="1">
    <w:nsid w:val="16EB5A43"/>
    <w:multiLevelType w:val="singleLevel"/>
    <w:tmpl w:val="7F5C6FD8"/>
    <w:lvl w:ilvl="0">
      <w:start w:val="1"/>
      <w:numFmt w:val="bullet"/>
      <w:lvlText w:val=""/>
      <w:lvlJc w:val="left"/>
      <w:pPr>
        <w:tabs>
          <w:tab w:val="num" w:pos="360"/>
        </w:tabs>
        <w:ind w:left="360" w:hanging="360"/>
      </w:pPr>
      <w:rPr>
        <w:rFonts w:ascii="PPI Keys" w:hAnsi="PPI Keys" w:hint="default"/>
      </w:rPr>
    </w:lvl>
  </w:abstractNum>
  <w:abstractNum w:abstractNumId="2">
    <w:nsid w:val="42E03E18"/>
    <w:multiLevelType w:val="hybridMultilevel"/>
    <w:tmpl w:val="BBBC98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C395076"/>
    <w:multiLevelType w:val="multilevel"/>
    <w:tmpl w:val="67C0BD00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  <w:lvl w:ilvl="2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  <w:lvl w:ilvl="3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  <w:lvl w:ilvl="4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  <w:lvl w:ilvl="5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4">
    <w:nsid w:val="678821FD"/>
    <w:multiLevelType w:val="singleLevel"/>
    <w:tmpl w:val="92D44258"/>
    <w:lvl w:ilvl="0">
      <w:start w:val="1"/>
      <w:numFmt w:val="bullet"/>
      <w:lvlText w:val=""/>
      <w:lvlJc w:val="left"/>
      <w:pPr>
        <w:tabs>
          <w:tab w:val="num" w:pos="3240"/>
        </w:tabs>
        <w:ind w:left="360" w:firstLine="2520"/>
      </w:pPr>
      <w:rPr>
        <w:rFonts w:ascii="PPI Keys" w:hAnsi="PPI Key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227" w:hanging="227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attachedTemplate r:id="rId1"/>
  <w:defaultTabStop w:val="720"/>
  <w:hyphenationZone w:val="425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130"/>
    <w:rsid w:val="000836BD"/>
    <w:rsid w:val="00096248"/>
    <w:rsid w:val="000D5F78"/>
    <w:rsid w:val="000F3E4C"/>
    <w:rsid w:val="001436DC"/>
    <w:rsid w:val="00153C4D"/>
    <w:rsid w:val="003422C4"/>
    <w:rsid w:val="00373193"/>
    <w:rsid w:val="003E4DBD"/>
    <w:rsid w:val="003F154E"/>
    <w:rsid w:val="003F205E"/>
    <w:rsid w:val="003F531B"/>
    <w:rsid w:val="00432547"/>
    <w:rsid w:val="00523712"/>
    <w:rsid w:val="00577DFF"/>
    <w:rsid w:val="005C0518"/>
    <w:rsid w:val="005F1310"/>
    <w:rsid w:val="006017D1"/>
    <w:rsid w:val="00643322"/>
    <w:rsid w:val="006A1529"/>
    <w:rsid w:val="00707AFE"/>
    <w:rsid w:val="00787F6E"/>
    <w:rsid w:val="007B39AA"/>
    <w:rsid w:val="00856F3A"/>
    <w:rsid w:val="008C1FC5"/>
    <w:rsid w:val="00926C0C"/>
    <w:rsid w:val="00954156"/>
    <w:rsid w:val="00971EEB"/>
    <w:rsid w:val="009F29C9"/>
    <w:rsid w:val="00A019DD"/>
    <w:rsid w:val="00A02E85"/>
    <w:rsid w:val="00A404BA"/>
    <w:rsid w:val="00AB12DC"/>
    <w:rsid w:val="00AF492B"/>
    <w:rsid w:val="00AF4E42"/>
    <w:rsid w:val="00B43479"/>
    <w:rsid w:val="00BA0645"/>
    <w:rsid w:val="00BA2C7F"/>
    <w:rsid w:val="00BB70BC"/>
    <w:rsid w:val="00BF62D5"/>
    <w:rsid w:val="00C3032E"/>
    <w:rsid w:val="00C909E8"/>
    <w:rsid w:val="00CC69FC"/>
    <w:rsid w:val="00CF6C3E"/>
    <w:rsid w:val="00D21A76"/>
    <w:rsid w:val="00D30AC0"/>
    <w:rsid w:val="00D4433A"/>
    <w:rsid w:val="00D6418F"/>
    <w:rsid w:val="00DA7528"/>
    <w:rsid w:val="00E13456"/>
    <w:rsid w:val="00E74DBE"/>
    <w:rsid w:val="00E80643"/>
    <w:rsid w:val="00EA05D8"/>
    <w:rsid w:val="00EC6130"/>
    <w:rsid w:val="00F30C9F"/>
    <w:rsid w:val="00FF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518"/>
    <w:pPr>
      <w:spacing w:after="120"/>
      <w:ind w:firstLine="227"/>
      <w:jc w:val="both"/>
    </w:pPr>
    <w:rPr>
      <w:sz w:val="22"/>
      <w:szCs w:val="24"/>
      <w:lang w:eastAsia="en-US"/>
    </w:rPr>
  </w:style>
  <w:style w:type="paragraph" w:styleId="Titre1">
    <w:name w:val="heading 1"/>
    <w:basedOn w:val="Normal"/>
    <w:next w:val="Firstparagraph"/>
    <w:qFormat/>
    <w:pPr>
      <w:keepLines/>
      <w:widowControl w:val="0"/>
      <w:suppressAutoHyphens/>
      <w:spacing w:before="520" w:after="280" w:line="280" w:lineRule="exact"/>
      <w:ind w:firstLine="0"/>
      <w:jc w:val="left"/>
      <w:outlineLvl w:val="0"/>
    </w:pPr>
    <w:rPr>
      <w:rFonts w:cs="Arial"/>
      <w:b/>
      <w:bCs/>
      <w:kern w:val="32"/>
      <w:sz w:val="24"/>
      <w:szCs w:val="32"/>
    </w:rPr>
  </w:style>
  <w:style w:type="paragraph" w:styleId="Titre2">
    <w:name w:val="heading 2"/>
    <w:basedOn w:val="Normal"/>
    <w:next w:val="Firstparagraph"/>
    <w:qFormat/>
    <w:pPr>
      <w:keepLines/>
      <w:widowControl w:val="0"/>
      <w:suppressAutoHyphens/>
      <w:spacing w:before="260" w:after="260"/>
      <w:ind w:firstLine="0"/>
      <w:jc w:val="left"/>
      <w:outlineLvl w:val="1"/>
    </w:pPr>
    <w:rPr>
      <w:rFonts w:cs="Arial"/>
      <w:b/>
      <w:bCs/>
      <w:iCs/>
      <w:szCs w:val="28"/>
    </w:rPr>
  </w:style>
  <w:style w:type="paragraph" w:styleId="Titre3">
    <w:name w:val="heading 3"/>
    <w:basedOn w:val="Normal"/>
    <w:next w:val="Firstparagraph"/>
    <w:qFormat/>
    <w:pPr>
      <w:keepLines/>
      <w:widowControl w:val="0"/>
      <w:suppressAutoHyphens/>
      <w:spacing w:before="240"/>
      <w:ind w:firstLine="0"/>
      <w:jc w:val="left"/>
      <w:outlineLvl w:val="2"/>
    </w:pPr>
    <w:rPr>
      <w:rFonts w:cs="Arial"/>
      <w:b/>
      <w:bCs/>
      <w:i/>
      <w:sz w:val="2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Firstparagraph">
    <w:name w:val="First paragraph"/>
    <w:basedOn w:val="Normal"/>
    <w:next w:val="Normal"/>
    <w:pPr>
      <w:ind w:firstLine="0"/>
    </w:pPr>
  </w:style>
  <w:style w:type="paragraph" w:styleId="Titre">
    <w:name w:val="Title"/>
    <w:basedOn w:val="Normal"/>
    <w:next w:val="Author"/>
    <w:qFormat/>
    <w:rsid w:val="00C909E8"/>
    <w:pPr>
      <w:widowControl w:val="0"/>
      <w:suppressAutoHyphens/>
      <w:spacing w:after="460" w:line="348" w:lineRule="exact"/>
      <w:ind w:firstLine="0"/>
      <w:jc w:val="left"/>
      <w:outlineLvl w:val="0"/>
    </w:pPr>
    <w:rPr>
      <w:rFonts w:cs="Arial"/>
      <w:b/>
      <w:bCs/>
      <w:kern w:val="28"/>
      <w:sz w:val="28"/>
      <w:szCs w:val="32"/>
    </w:rPr>
  </w:style>
  <w:style w:type="paragraph" w:customStyle="1" w:styleId="Author">
    <w:name w:val="Author"/>
    <w:basedOn w:val="Normal"/>
    <w:next w:val="Authoraddress"/>
    <w:pPr>
      <w:widowControl w:val="0"/>
      <w:suppressAutoHyphens/>
      <w:spacing w:after="220"/>
      <w:ind w:firstLine="0"/>
      <w:jc w:val="left"/>
    </w:pPr>
  </w:style>
  <w:style w:type="paragraph" w:customStyle="1" w:styleId="Authoraddress">
    <w:name w:val="Author address"/>
    <w:basedOn w:val="Normal"/>
    <w:pPr>
      <w:widowControl w:val="0"/>
      <w:suppressAutoHyphens/>
      <w:ind w:firstLine="0"/>
      <w:jc w:val="left"/>
    </w:pPr>
  </w:style>
  <w:style w:type="paragraph" w:customStyle="1" w:styleId="Abstract">
    <w:name w:val="Abstract"/>
    <w:basedOn w:val="Normal"/>
    <w:pPr>
      <w:spacing w:before="520"/>
      <w:ind w:firstLine="0"/>
    </w:pPr>
    <w:rPr>
      <w:sz w:val="20"/>
    </w:rPr>
  </w:style>
  <w:style w:type="paragraph" w:customStyle="1" w:styleId="Figurecaption">
    <w:name w:val="Figure caption"/>
    <w:basedOn w:val="Normal"/>
    <w:next w:val="Normal"/>
    <w:pPr>
      <w:keepLines/>
      <w:widowControl w:val="0"/>
      <w:spacing w:before="120" w:after="240"/>
      <w:ind w:firstLine="0"/>
      <w:jc w:val="left"/>
    </w:pPr>
    <w:rPr>
      <w:sz w:val="20"/>
    </w:rPr>
  </w:style>
  <w:style w:type="paragraph" w:customStyle="1" w:styleId="Tabletitle">
    <w:name w:val="Table title"/>
    <w:basedOn w:val="Normal"/>
    <w:pPr>
      <w:widowControl w:val="0"/>
      <w:spacing w:before="240"/>
      <w:ind w:firstLine="0"/>
    </w:pPr>
    <w:rPr>
      <w:sz w:val="20"/>
    </w:rPr>
  </w:style>
  <w:style w:type="paragraph" w:customStyle="1" w:styleId="Reference">
    <w:name w:val="Reference"/>
    <w:basedOn w:val="Normal"/>
    <w:rsid w:val="00C909E8"/>
    <w:pPr>
      <w:widowControl w:val="0"/>
      <w:suppressAutoHyphens/>
      <w:ind w:left="340" w:hanging="340"/>
    </w:pPr>
    <w:rPr>
      <w:sz w:val="20"/>
    </w:rPr>
  </w:style>
  <w:style w:type="paragraph" w:customStyle="1" w:styleId="Equation">
    <w:name w:val="Equation"/>
    <w:basedOn w:val="Normal"/>
    <w:pPr>
      <w:widowControl w:val="0"/>
      <w:spacing w:before="120"/>
      <w:ind w:firstLine="0"/>
      <w:jc w:val="center"/>
    </w:pPr>
  </w:style>
  <w:style w:type="character" w:styleId="Numrodepage">
    <w:name w:val="page number"/>
    <w:basedOn w:val="Policepardfaut"/>
    <w:semiHidden/>
  </w:style>
  <w:style w:type="paragraph" w:customStyle="1" w:styleId="BulletItem">
    <w:name w:val="Bullet Item"/>
    <w:basedOn w:val="Normal"/>
    <w:pPr>
      <w:tabs>
        <w:tab w:val="left" w:pos="227"/>
        <w:tab w:val="left" w:pos="454"/>
      </w:tabs>
      <w:overflowPunct w:val="0"/>
      <w:autoSpaceDE w:val="0"/>
      <w:autoSpaceDN w:val="0"/>
      <w:adjustRightInd w:val="0"/>
      <w:ind w:left="227" w:hanging="227"/>
      <w:textAlignment w:val="baseline"/>
    </w:pPr>
    <w:rPr>
      <w:rFonts w:ascii="Times" w:hAnsi="Times"/>
      <w:szCs w:val="22"/>
      <w:lang w:val="en-US" w:eastAsia="zh-CN"/>
    </w:rPr>
  </w:style>
  <w:style w:type="character" w:styleId="Marquedecommentaire">
    <w:name w:val="annotation reference"/>
    <w:basedOn w:val="Policepardfaut"/>
    <w:semiHidden/>
    <w:rPr>
      <w:sz w:val="16"/>
      <w:szCs w:val="16"/>
    </w:rPr>
  </w:style>
  <w:style w:type="paragraph" w:styleId="Commentaire">
    <w:name w:val="annotation text"/>
    <w:basedOn w:val="Normal"/>
    <w:semiHidden/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C613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6130"/>
    <w:rPr>
      <w:rFonts w:ascii="Tahoma" w:hAnsi="Tahoma" w:cs="Tahoma"/>
      <w:sz w:val="16"/>
      <w:szCs w:val="16"/>
      <w:lang w:val="en-GB" w:eastAsia="en-US"/>
    </w:rPr>
  </w:style>
  <w:style w:type="character" w:styleId="Lienhypertexte">
    <w:name w:val="Hyperlink"/>
    <w:basedOn w:val="Policepardfaut"/>
    <w:uiPriority w:val="99"/>
    <w:semiHidden/>
    <w:unhideWhenUsed/>
    <w:rsid w:val="00643322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643322"/>
  </w:style>
  <w:style w:type="paragraph" w:styleId="En-tte">
    <w:name w:val="header"/>
    <w:basedOn w:val="Normal"/>
    <w:link w:val="En-tteCar"/>
    <w:uiPriority w:val="99"/>
    <w:unhideWhenUsed/>
    <w:rsid w:val="00C909E8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909E8"/>
    <w:rPr>
      <w:sz w:val="22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518"/>
    <w:pPr>
      <w:spacing w:after="120"/>
      <w:ind w:firstLine="227"/>
      <w:jc w:val="both"/>
    </w:pPr>
    <w:rPr>
      <w:sz w:val="22"/>
      <w:szCs w:val="24"/>
      <w:lang w:eastAsia="en-US"/>
    </w:rPr>
  </w:style>
  <w:style w:type="paragraph" w:styleId="Titre1">
    <w:name w:val="heading 1"/>
    <w:basedOn w:val="Normal"/>
    <w:next w:val="Firstparagraph"/>
    <w:qFormat/>
    <w:pPr>
      <w:keepLines/>
      <w:widowControl w:val="0"/>
      <w:suppressAutoHyphens/>
      <w:spacing w:before="520" w:after="280" w:line="280" w:lineRule="exact"/>
      <w:ind w:firstLine="0"/>
      <w:jc w:val="left"/>
      <w:outlineLvl w:val="0"/>
    </w:pPr>
    <w:rPr>
      <w:rFonts w:cs="Arial"/>
      <w:b/>
      <w:bCs/>
      <w:kern w:val="32"/>
      <w:sz w:val="24"/>
      <w:szCs w:val="32"/>
    </w:rPr>
  </w:style>
  <w:style w:type="paragraph" w:styleId="Titre2">
    <w:name w:val="heading 2"/>
    <w:basedOn w:val="Normal"/>
    <w:next w:val="Firstparagraph"/>
    <w:qFormat/>
    <w:pPr>
      <w:keepLines/>
      <w:widowControl w:val="0"/>
      <w:suppressAutoHyphens/>
      <w:spacing w:before="260" w:after="260"/>
      <w:ind w:firstLine="0"/>
      <w:jc w:val="left"/>
      <w:outlineLvl w:val="1"/>
    </w:pPr>
    <w:rPr>
      <w:rFonts w:cs="Arial"/>
      <w:b/>
      <w:bCs/>
      <w:iCs/>
      <w:szCs w:val="28"/>
    </w:rPr>
  </w:style>
  <w:style w:type="paragraph" w:styleId="Titre3">
    <w:name w:val="heading 3"/>
    <w:basedOn w:val="Normal"/>
    <w:next w:val="Firstparagraph"/>
    <w:qFormat/>
    <w:pPr>
      <w:keepLines/>
      <w:widowControl w:val="0"/>
      <w:suppressAutoHyphens/>
      <w:spacing w:before="240"/>
      <w:ind w:firstLine="0"/>
      <w:jc w:val="left"/>
      <w:outlineLvl w:val="2"/>
    </w:pPr>
    <w:rPr>
      <w:rFonts w:cs="Arial"/>
      <w:b/>
      <w:bCs/>
      <w:i/>
      <w:sz w:val="2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Firstparagraph">
    <w:name w:val="First paragraph"/>
    <w:basedOn w:val="Normal"/>
    <w:next w:val="Normal"/>
    <w:pPr>
      <w:ind w:firstLine="0"/>
    </w:pPr>
  </w:style>
  <w:style w:type="paragraph" w:styleId="Titre">
    <w:name w:val="Title"/>
    <w:basedOn w:val="Normal"/>
    <w:next w:val="Author"/>
    <w:qFormat/>
    <w:rsid w:val="00C909E8"/>
    <w:pPr>
      <w:widowControl w:val="0"/>
      <w:suppressAutoHyphens/>
      <w:spacing w:after="460" w:line="348" w:lineRule="exact"/>
      <w:ind w:firstLine="0"/>
      <w:jc w:val="left"/>
      <w:outlineLvl w:val="0"/>
    </w:pPr>
    <w:rPr>
      <w:rFonts w:cs="Arial"/>
      <w:b/>
      <w:bCs/>
      <w:kern w:val="28"/>
      <w:sz w:val="28"/>
      <w:szCs w:val="32"/>
    </w:rPr>
  </w:style>
  <w:style w:type="paragraph" w:customStyle="1" w:styleId="Author">
    <w:name w:val="Author"/>
    <w:basedOn w:val="Normal"/>
    <w:next w:val="Authoraddress"/>
    <w:pPr>
      <w:widowControl w:val="0"/>
      <w:suppressAutoHyphens/>
      <w:spacing w:after="220"/>
      <w:ind w:firstLine="0"/>
      <w:jc w:val="left"/>
    </w:pPr>
  </w:style>
  <w:style w:type="paragraph" w:customStyle="1" w:styleId="Authoraddress">
    <w:name w:val="Author address"/>
    <w:basedOn w:val="Normal"/>
    <w:pPr>
      <w:widowControl w:val="0"/>
      <w:suppressAutoHyphens/>
      <w:ind w:firstLine="0"/>
      <w:jc w:val="left"/>
    </w:pPr>
  </w:style>
  <w:style w:type="paragraph" w:customStyle="1" w:styleId="Abstract">
    <w:name w:val="Abstract"/>
    <w:basedOn w:val="Normal"/>
    <w:pPr>
      <w:spacing w:before="520"/>
      <w:ind w:firstLine="0"/>
    </w:pPr>
    <w:rPr>
      <w:sz w:val="20"/>
    </w:rPr>
  </w:style>
  <w:style w:type="paragraph" w:customStyle="1" w:styleId="Figurecaption">
    <w:name w:val="Figure caption"/>
    <w:basedOn w:val="Normal"/>
    <w:next w:val="Normal"/>
    <w:pPr>
      <w:keepLines/>
      <w:widowControl w:val="0"/>
      <w:spacing w:before="120" w:after="240"/>
      <w:ind w:firstLine="0"/>
      <w:jc w:val="left"/>
    </w:pPr>
    <w:rPr>
      <w:sz w:val="20"/>
    </w:rPr>
  </w:style>
  <w:style w:type="paragraph" w:customStyle="1" w:styleId="Tabletitle">
    <w:name w:val="Table title"/>
    <w:basedOn w:val="Normal"/>
    <w:pPr>
      <w:widowControl w:val="0"/>
      <w:spacing w:before="240"/>
      <w:ind w:firstLine="0"/>
    </w:pPr>
    <w:rPr>
      <w:sz w:val="20"/>
    </w:rPr>
  </w:style>
  <w:style w:type="paragraph" w:customStyle="1" w:styleId="Reference">
    <w:name w:val="Reference"/>
    <w:basedOn w:val="Normal"/>
    <w:rsid w:val="00C909E8"/>
    <w:pPr>
      <w:widowControl w:val="0"/>
      <w:suppressAutoHyphens/>
      <w:ind w:left="340" w:hanging="340"/>
    </w:pPr>
    <w:rPr>
      <w:sz w:val="20"/>
    </w:rPr>
  </w:style>
  <w:style w:type="paragraph" w:customStyle="1" w:styleId="Equation">
    <w:name w:val="Equation"/>
    <w:basedOn w:val="Normal"/>
    <w:pPr>
      <w:widowControl w:val="0"/>
      <w:spacing w:before="120"/>
      <w:ind w:firstLine="0"/>
      <w:jc w:val="center"/>
    </w:pPr>
  </w:style>
  <w:style w:type="character" w:styleId="Numrodepage">
    <w:name w:val="page number"/>
    <w:basedOn w:val="Policepardfaut"/>
    <w:semiHidden/>
  </w:style>
  <w:style w:type="paragraph" w:customStyle="1" w:styleId="BulletItem">
    <w:name w:val="Bullet Item"/>
    <w:basedOn w:val="Normal"/>
    <w:pPr>
      <w:tabs>
        <w:tab w:val="left" w:pos="227"/>
        <w:tab w:val="left" w:pos="454"/>
      </w:tabs>
      <w:overflowPunct w:val="0"/>
      <w:autoSpaceDE w:val="0"/>
      <w:autoSpaceDN w:val="0"/>
      <w:adjustRightInd w:val="0"/>
      <w:ind w:left="227" w:hanging="227"/>
      <w:textAlignment w:val="baseline"/>
    </w:pPr>
    <w:rPr>
      <w:rFonts w:ascii="Times" w:hAnsi="Times"/>
      <w:szCs w:val="22"/>
      <w:lang w:val="en-US" w:eastAsia="zh-CN"/>
    </w:rPr>
  </w:style>
  <w:style w:type="character" w:styleId="Marquedecommentaire">
    <w:name w:val="annotation reference"/>
    <w:basedOn w:val="Policepardfaut"/>
    <w:semiHidden/>
    <w:rPr>
      <w:sz w:val="16"/>
      <w:szCs w:val="16"/>
    </w:rPr>
  </w:style>
  <w:style w:type="paragraph" w:styleId="Commentaire">
    <w:name w:val="annotation text"/>
    <w:basedOn w:val="Normal"/>
    <w:semiHidden/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C613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6130"/>
    <w:rPr>
      <w:rFonts w:ascii="Tahoma" w:hAnsi="Tahoma" w:cs="Tahoma"/>
      <w:sz w:val="16"/>
      <w:szCs w:val="16"/>
      <w:lang w:val="en-GB" w:eastAsia="en-US"/>
    </w:rPr>
  </w:style>
  <w:style w:type="character" w:styleId="Lienhypertexte">
    <w:name w:val="Hyperlink"/>
    <w:basedOn w:val="Policepardfaut"/>
    <w:uiPriority w:val="99"/>
    <w:semiHidden/>
    <w:unhideWhenUsed/>
    <w:rsid w:val="00643322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643322"/>
  </w:style>
  <w:style w:type="paragraph" w:styleId="En-tte">
    <w:name w:val="header"/>
    <w:basedOn w:val="Normal"/>
    <w:link w:val="En-tteCar"/>
    <w:uiPriority w:val="99"/>
    <w:unhideWhenUsed/>
    <w:rsid w:val="00C909E8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909E8"/>
    <w:rPr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stallation\Downloads\Proceedings_Templat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B16EE-457E-467C-9C19-8AD14E1FE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Proceedings_Template</Template>
  <TotalTime>311</TotalTime>
  <Pages>5</Pages>
  <Words>1158</Words>
  <Characters>6373</Characters>
  <Application>Microsoft Office Word</Application>
  <DocSecurity>0</DocSecurity>
  <Lines>53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  <vt:variant>
        <vt:lpstr>Title</vt:lpstr>
      </vt:variant>
      <vt:variant>
        <vt:i4>1</vt:i4>
      </vt:variant>
    </vt:vector>
  </HeadingPairs>
  <TitlesOfParts>
    <vt:vector size="8" baseType="lpstr">
      <vt:lpstr>Conference Paper Template</vt:lpstr>
      <vt:lpstr/>
      <vt:lpstr>Proposition de communication orale pour l’axe 2 : Transition écologique, économi</vt:lpstr>
      <vt:lpstr>Système coopératif localisé, stratégies collectives et agroécologie au Nicaragua</vt:lpstr>
      <vt:lpstr>Mots clés : </vt:lpstr>
      <vt:lpstr>Codes JEL : </vt:lpstr>
      <vt:lpstr>Extrait de bibliographie </vt:lpstr>
      <vt:lpstr>Conference Paper Template</vt:lpstr>
    </vt:vector>
  </TitlesOfParts>
  <Company>Université d'Artois</Company>
  <LinksUpToDate>false</LinksUpToDate>
  <CharactersWithSpaces>7516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Conference Paper Template</dc:title>
  <dc:creator>Installation</dc:creator>
  <cp:lastModifiedBy>Renaud Metereau</cp:lastModifiedBy>
  <cp:revision>14</cp:revision>
  <cp:lastPrinted>1900-12-31T22:00:00Z</cp:lastPrinted>
  <dcterms:created xsi:type="dcterms:W3CDTF">2014-05-26T13:01:00Z</dcterms:created>
  <dcterms:modified xsi:type="dcterms:W3CDTF">2014-09-08T08:31:00Z</dcterms:modified>
</cp:coreProperties>
</file>