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28A" w:rsidRPr="00D3429C" w:rsidRDefault="00586E3A" w:rsidP="00586E3A">
      <w:pPr>
        <w:spacing w:after="0"/>
        <w:rPr>
          <w:b/>
        </w:rPr>
      </w:pPr>
      <w:r w:rsidRPr="00D3429C">
        <w:rPr>
          <w:b/>
        </w:rPr>
        <w:t>Armel Chebbi</w:t>
      </w:r>
    </w:p>
    <w:p w:rsidR="00586E3A" w:rsidRDefault="00586E3A" w:rsidP="00586E3A">
      <w:pPr>
        <w:spacing w:after="0"/>
      </w:pPr>
      <w:r>
        <w:t>Mémoire M2 Recherche</w:t>
      </w:r>
      <w:r w:rsidR="00D3429C">
        <w:t xml:space="preserve"> Note d’intention 31/01/2014</w:t>
      </w:r>
    </w:p>
    <w:p w:rsidR="00586E3A" w:rsidRDefault="00586E3A" w:rsidP="00586E3A">
      <w:pPr>
        <w:spacing w:after="0"/>
      </w:pPr>
      <w:r>
        <w:t>GODI</w:t>
      </w:r>
    </w:p>
    <w:p w:rsidR="00586E3A" w:rsidRDefault="00586E3A" w:rsidP="0049553E">
      <w:pPr>
        <w:spacing w:after="0"/>
        <w:jc w:val="center"/>
      </w:pPr>
    </w:p>
    <w:p w:rsidR="00586E3A" w:rsidRDefault="00586E3A" w:rsidP="0049553E">
      <w:pPr>
        <w:spacing w:after="0"/>
        <w:jc w:val="center"/>
      </w:pPr>
    </w:p>
    <w:p w:rsidR="00586E3A" w:rsidRPr="00D3429C" w:rsidRDefault="00586E3A" w:rsidP="00D3429C">
      <w:pPr>
        <w:pBdr>
          <w:top w:val="single" w:sz="4" w:space="1" w:color="auto"/>
          <w:left w:val="single" w:sz="4" w:space="4" w:color="auto"/>
          <w:bottom w:val="single" w:sz="4" w:space="1" w:color="auto"/>
          <w:right w:val="single" w:sz="4" w:space="4" w:color="auto"/>
        </w:pBdr>
        <w:spacing w:after="0"/>
        <w:jc w:val="center"/>
        <w:rPr>
          <w:b/>
          <w:sz w:val="40"/>
          <w:szCs w:val="40"/>
        </w:rPr>
      </w:pPr>
      <w:r w:rsidRPr="00D3429C">
        <w:rPr>
          <w:b/>
          <w:sz w:val="40"/>
          <w:szCs w:val="40"/>
        </w:rPr>
        <w:t>Démarche D’Ecologie Industrielle Territoriale en Rhône Alpes :</w:t>
      </w:r>
    </w:p>
    <w:p w:rsidR="00586E3A" w:rsidRPr="00D3429C" w:rsidRDefault="00586E3A" w:rsidP="00D3429C">
      <w:pPr>
        <w:pBdr>
          <w:top w:val="single" w:sz="4" w:space="1" w:color="auto"/>
          <w:left w:val="single" w:sz="4" w:space="4" w:color="auto"/>
          <w:bottom w:val="single" w:sz="4" w:space="1" w:color="auto"/>
          <w:right w:val="single" w:sz="4" w:space="4" w:color="auto"/>
        </w:pBdr>
        <w:spacing w:after="0"/>
        <w:jc w:val="center"/>
        <w:rPr>
          <w:b/>
          <w:sz w:val="40"/>
          <w:szCs w:val="40"/>
        </w:rPr>
      </w:pPr>
      <w:r w:rsidRPr="00D3429C">
        <w:rPr>
          <w:b/>
          <w:sz w:val="40"/>
          <w:szCs w:val="40"/>
        </w:rPr>
        <w:t>Le rôle des institutions dans le lancement et la pérennisation des projets.</w:t>
      </w:r>
    </w:p>
    <w:p w:rsidR="00D3429C" w:rsidRDefault="00D3429C" w:rsidP="0049553E">
      <w:pPr>
        <w:spacing w:after="0"/>
        <w:jc w:val="center"/>
      </w:pPr>
    </w:p>
    <w:p w:rsidR="00586E3A" w:rsidRDefault="00586E3A" w:rsidP="0049553E">
      <w:pPr>
        <w:spacing w:after="0"/>
        <w:jc w:val="center"/>
      </w:pPr>
      <w:r>
        <w:t xml:space="preserve">Sous la direction de  </w:t>
      </w:r>
      <w:proofErr w:type="spellStart"/>
      <w:r>
        <w:t>C.Figuière</w:t>
      </w:r>
      <w:proofErr w:type="spellEnd"/>
    </w:p>
    <w:p w:rsidR="00586E3A" w:rsidRDefault="00586E3A" w:rsidP="0049553E">
      <w:pPr>
        <w:spacing w:after="0"/>
        <w:jc w:val="center"/>
      </w:pPr>
    </w:p>
    <w:p w:rsidR="00586E3A" w:rsidRDefault="00586E3A" w:rsidP="00586E3A">
      <w:pPr>
        <w:spacing w:after="0"/>
      </w:pPr>
      <w:r w:rsidRPr="00D3429C">
        <w:rPr>
          <w:b/>
        </w:rPr>
        <w:t>Mots clé</w:t>
      </w:r>
      <w:r w:rsidR="00D3429C" w:rsidRPr="00D3429C">
        <w:rPr>
          <w:b/>
        </w:rPr>
        <w:t>s</w:t>
      </w:r>
      <w:r w:rsidRPr="00D3429C">
        <w:rPr>
          <w:b/>
        </w:rPr>
        <w:t> :</w:t>
      </w:r>
      <w:r>
        <w:t xml:space="preserve"> EI, Rhône-Alpes, Institutions, Territoire</w:t>
      </w:r>
    </w:p>
    <w:p w:rsidR="0049553E" w:rsidRDefault="0049553E">
      <w:pPr>
        <w:spacing w:after="0"/>
      </w:pPr>
    </w:p>
    <w:p w:rsidR="00DF528A" w:rsidRDefault="00DF528A" w:rsidP="006B1C99">
      <w:pPr>
        <w:spacing w:after="0"/>
        <w:jc w:val="both"/>
      </w:pPr>
      <w:r>
        <w:tab/>
        <w:t>Le principe de bouclage des flux (</w:t>
      </w:r>
      <w:r>
        <w:rPr>
          <w:i/>
          <w:iCs/>
        </w:rPr>
        <w:t xml:space="preserve">close </w:t>
      </w:r>
      <w:proofErr w:type="spellStart"/>
      <w:r>
        <w:rPr>
          <w:i/>
          <w:iCs/>
        </w:rPr>
        <w:t>loop</w:t>
      </w:r>
      <w:proofErr w:type="spellEnd"/>
      <w:r>
        <w:t>), fondement du projet d’Ecologie industrielle</w:t>
      </w:r>
      <w:r w:rsidRPr="0043326C">
        <w:rPr>
          <w:rStyle w:val="Appelnotedebasdep"/>
        </w:rPr>
        <w:footnoteReference w:id="1"/>
      </w:r>
      <w:r>
        <w:t xml:space="preserve"> (EI) n’est pas récent, même s’il faut attendre la fin des années 1980 pour voir émerger l’appellation d’EI, aujourd’hui largement acceptée. Ce principe est pourtant évoqué dès les années 1950 par certains écologues</w:t>
      </w:r>
      <w:r w:rsidRPr="0043326C">
        <w:rPr>
          <w:rStyle w:val="Appelnotedebasdep"/>
        </w:rPr>
        <w:footnoteReference w:id="2"/>
      </w:r>
      <w:r>
        <w:t xml:space="preserve"> </w:t>
      </w:r>
      <w:r>
        <w:rPr>
          <w:noProof/>
        </w:rPr>
        <w:t>(Adoue, 2007)</w:t>
      </w:r>
      <w:r>
        <w:t>.Mais c’est durant les années 1970 a</w:t>
      </w:r>
      <w:r w:rsidR="00D3429C">
        <w:t>u Japon que ce principe commence</w:t>
      </w:r>
      <w:r>
        <w:t xml:space="preserve"> à prendre forme. Prenant acte du coût environnemental élevé de l’industrialisation, le ministère du commerce extérieur et de l’industrie japonaise (MITI), met en place un groupe de travail « industrie-écologie » dirigé par </w:t>
      </w:r>
      <w:proofErr w:type="spellStart"/>
      <w:r>
        <w:t>Chihiro</w:t>
      </w:r>
      <w:proofErr w:type="spellEnd"/>
      <w:r>
        <w:t xml:space="preserve"> </w:t>
      </w:r>
      <w:proofErr w:type="spellStart"/>
      <w:r>
        <w:t>Watanabe</w:t>
      </w:r>
      <w:proofErr w:type="spellEnd"/>
      <w:r>
        <w:t xml:space="preserve"> afin de concevoir l’activité économique dans un contexte écologique </w:t>
      </w:r>
      <w:r>
        <w:rPr>
          <w:noProof/>
        </w:rPr>
        <w:t>(Erkmann, 2004)</w:t>
      </w:r>
      <w:r>
        <w:t>. Après une année de travail, le groupe publie son premier rapport en mai 1972. Ce dernier sera largement diffusé au sein du MITI mais également auprès des organisations industrie</w:t>
      </w:r>
      <w:r w:rsidR="00D3429C">
        <w:t>lles et de la presse. Il suscite</w:t>
      </w:r>
      <w:r>
        <w:t xml:space="preserve"> de nombreux commentaires positifs, ce</w:t>
      </w:r>
      <w:r w:rsidR="00D3429C">
        <w:t>pendant pour beaucoup il reste</w:t>
      </w:r>
      <w:r>
        <w:t xml:space="preserve"> encore trop théorique. Un second rapport plus concret v</w:t>
      </w:r>
      <w:r w:rsidR="00D3429C">
        <w:t>o</w:t>
      </w:r>
      <w:r>
        <w:t xml:space="preserve">it le jour un an plus tard, sans que toutefois il ne débouche sur une véritable application de l’EI. </w:t>
      </w:r>
    </w:p>
    <w:p w:rsidR="00DF528A" w:rsidRDefault="00DF528A" w:rsidP="006B1C99">
      <w:pPr>
        <w:spacing w:after="0"/>
        <w:jc w:val="both"/>
      </w:pPr>
      <w:r>
        <w:lastRenderedPageBreak/>
        <w:t xml:space="preserve">La première apparition </w:t>
      </w:r>
      <w:r w:rsidR="00F32D15">
        <w:t>du terme « écosystème industriel »</w:t>
      </w:r>
      <w:r>
        <w:t>, au sens où on le connaît aujourd’hui (Faire tendre</w:t>
      </w:r>
      <w:r w:rsidR="00F32D15">
        <w:t xml:space="preserve"> l’organisation d’un système industriel</w:t>
      </w:r>
      <w:r>
        <w:t xml:space="preserve"> </w:t>
      </w:r>
      <w:r w:rsidR="00F32D15">
        <w:t>vers celle</w:t>
      </w:r>
      <w:r>
        <w:t xml:space="preserve"> d’un écosystème naturel) est l’œuvre d’un biologiste américain, Preston Cloud en 1977, là aussi sans réel débouché concret</w:t>
      </w:r>
      <w:r>
        <w:rPr>
          <w:noProof/>
        </w:rPr>
        <w:t xml:space="preserve"> (Erkmann, 2004)</w:t>
      </w:r>
      <w:r>
        <w:t xml:space="preserve">. </w:t>
      </w:r>
    </w:p>
    <w:p w:rsidR="00DF528A" w:rsidRDefault="00DF528A" w:rsidP="006B1C99">
      <w:pPr>
        <w:spacing w:after="0"/>
        <w:jc w:val="both"/>
      </w:pPr>
      <w:r>
        <w:t xml:space="preserve">En 1983, paraît un ouvrage Collectif, intitulé </w:t>
      </w:r>
      <w:r>
        <w:rPr>
          <w:i/>
          <w:iCs/>
        </w:rPr>
        <w:t xml:space="preserve">L’écosystème Belgique. Essai d’écologie industrielle. </w:t>
      </w:r>
      <w:r w:rsidR="00D3429C">
        <w:t>Cet o</w:t>
      </w:r>
      <w:r>
        <w:t>uvrage analyse l’économie Belge sous un nouvel angle en exprimant la production industrielle en flux de matière et d’énergie plutôt qu’en unité monétaire. Mais une nouvelle fois ce concept n’a été que très peu entendu</w:t>
      </w:r>
      <w:r>
        <w:rPr>
          <w:noProof/>
        </w:rPr>
        <w:t xml:space="preserve"> (Erkmann, 2004)</w:t>
      </w:r>
      <w:r w:rsidR="00D3429C">
        <w:t xml:space="preserve">. </w:t>
      </w:r>
      <w:r>
        <w:t>L’</w:t>
      </w:r>
      <w:r w:rsidR="00F32D15">
        <w:t xml:space="preserve">EI </w:t>
      </w:r>
      <w:r w:rsidR="00D3429C">
        <w:t xml:space="preserve">n’est </w:t>
      </w:r>
      <w:r w:rsidR="00F32D15">
        <w:t>médiatisée</w:t>
      </w:r>
      <w:r w:rsidR="00D3429C">
        <w:t xml:space="preserve"> qu’à partir de </w:t>
      </w:r>
      <w:r>
        <w:t xml:space="preserve"> 1989 suite au travail de  Robert </w:t>
      </w:r>
      <w:proofErr w:type="spellStart"/>
      <w:r>
        <w:t>Frosch</w:t>
      </w:r>
      <w:proofErr w:type="spellEnd"/>
      <w:r>
        <w:t xml:space="preserve"> et Nicolas </w:t>
      </w:r>
      <w:proofErr w:type="spellStart"/>
      <w:r>
        <w:t>Gallopoulos</w:t>
      </w:r>
      <w:proofErr w:type="spellEnd"/>
      <w:r>
        <w:t xml:space="preserve">, tous deux </w:t>
      </w:r>
      <w:r w:rsidRPr="0043326C">
        <w:rPr>
          <w:color w:val="000000"/>
        </w:rPr>
        <w:t>responsables</w:t>
      </w:r>
      <w:r>
        <w:t xml:space="preserve"> de la recherche chez General Motors. Ils publient dans un numéro spécial de la revue </w:t>
      </w:r>
      <w:proofErr w:type="spellStart"/>
      <w:r>
        <w:rPr>
          <w:i/>
          <w:iCs/>
        </w:rPr>
        <w:t>Scientific</w:t>
      </w:r>
      <w:proofErr w:type="spellEnd"/>
      <w:r>
        <w:rPr>
          <w:i/>
          <w:iCs/>
        </w:rPr>
        <w:t xml:space="preserve"> American</w:t>
      </w:r>
      <w:r>
        <w:t xml:space="preserve"> consacrée à la gestion de la planète terre, un article intitulé « </w:t>
      </w:r>
      <w:r>
        <w:rPr>
          <w:i/>
          <w:iCs/>
        </w:rPr>
        <w:t>Des stratégies industrielles viables »</w:t>
      </w:r>
      <w:r>
        <w:t xml:space="preserve">. Partant du constat que le système industriel s’inscrit dans un monde fini, ils suggèrent de faire évoluer le modèle « end of pipe » vers un modèle plus intégré qui prendrait en compte la quantité de ressources naturelles disponibles. Ce système fonctionnerait donc « à la manière » des écosystèmes naturels : d’où son appellation « d’écosystème industriel ». Il s’agit là de réorganiser le système industriel de manière à boucler le plus systématiquement possible les flux de matières et d’énergies. Cette définition a permis l’essor de l’E.I. dans le domaine scientifique et sa diffusion dans le monde industriel </w:t>
      </w:r>
      <w:r>
        <w:rPr>
          <w:noProof/>
        </w:rPr>
        <w:t>(Erkman, 2001)</w:t>
      </w:r>
      <w:r>
        <w:t xml:space="preserve">. L’E.I. est alors devenue une discipline, et de nombreux travaux sont venus enrichir les apports de </w:t>
      </w:r>
      <w:proofErr w:type="spellStart"/>
      <w:r>
        <w:t>Frosch</w:t>
      </w:r>
      <w:proofErr w:type="spellEnd"/>
      <w:r>
        <w:t xml:space="preserve"> et </w:t>
      </w:r>
      <w:proofErr w:type="spellStart"/>
      <w:r>
        <w:t>Gallopoulos</w:t>
      </w:r>
      <w:proofErr w:type="spellEnd"/>
      <w:r>
        <w:t xml:space="preserve">. </w:t>
      </w:r>
      <w:proofErr w:type="spellStart"/>
      <w:r>
        <w:t>Braden</w:t>
      </w:r>
      <w:proofErr w:type="spellEnd"/>
      <w:r>
        <w:t xml:space="preserve"> Allenby se</w:t>
      </w:r>
      <w:r w:rsidR="00D3429C">
        <w:t>ra l’un des premiers à travailler</w:t>
      </w:r>
      <w:r>
        <w:t xml:space="preserve"> sur l’EI en approfondissant les principes énoncés par </w:t>
      </w:r>
      <w:proofErr w:type="spellStart"/>
      <w:r>
        <w:t>Frosch</w:t>
      </w:r>
      <w:proofErr w:type="spellEnd"/>
      <w:r>
        <w:t xml:space="preserve"> et </w:t>
      </w:r>
      <w:proofErr w:type="spellStart"/>
      <w:r>
        <w:t>Gallopoulos</w:t>
      </w:r>
      <w:proofErr w:type="spellEnd"/>
      <w:r w:rsidR="00D3429C">
        <w:t>,</w:t>
      </w:r>
      <w:r>
        <w:t xml:space="preserve"> dans une thèse</w:t>
      </w:r>
      <w:r w:rsidRPr="006B1C99">
        <w:t xml:space="preserve"> publiée</w:t>
      </w:r>
      <w:r>
        <w:t xml:space="preserve"> en 1992. Puis en 1997</w:t>
      </w:r>
      <w:r w:rsidR="00D3429C">
        <w:t>,</w:t>
      </w:r>
      <w:r>
        <w:t xml:space="preserve"> John </w:t>
      </w:r>
      <w:proofErr w:type="spellStart"/>
      <w:r>
        <w:t>Ehrenfeld</w:t>
      </w:r>
      <w:proofErr w:type="spellEnd"/>
      <w:r>
        <w:t xml:space="preserve"> remettra en cause certains principes avancés par Allenby dans son article « </w:t>
      </w:r>
      <w:proofErr w:type="spellStart"/>
      <w:r>
        <w:rPr>
          <w:i/>
          <w:iCs/>
        </w:rPr>
        <w:t>Industrial</w:t>
      </w:r>
      <w:proofErr w:type="spellEnd"/>
      <w:r>
        <w:rPr>
          <w:i/>
          <w:iCs/>
        </w:rPr>
        <w:t xml:space="preserve"> </w:t>
      </w:r>
      <w:proofErr w:type="spellStart"/>
      <w:r>
        <w:rPr>
          <w:i/>
          <w:iCs/>
        </w:rPr>
        <w:t>ecology</w:t>
      </w:r>
      <w:proofErr w:type="spellEnd"/>
      <w:r>
        <w:rPr>
          <w:i/>
          <w:iCs/>
        </w:rPr>
        <w:t xml:space="preserve"> : a </w:t>
      </w:r>
      <w:proofErr w:type="spellStart"/>
      <w:r>
        <w:rPr>
          <w:i/>
          <w:iCs/>
        </w:rPr>
        <w:t>framework</w:t>
      </w:r>
      <w:proofErr w:type="spellEnd"/>
      <w:r>
        <w:rPr>
          <w:i/>
          <w:iCs/>
        </w:rPr>
        <w:t xml:space="preserve"> and </w:t>
      </w:r>
      <w:proofErr w:type="spellStart"/>
      <w:r>
        <w:rPr>
          <w:i/>
          <w:iCs/>
        </w:rPr>
        <w:t>process</w:t>
      </w:r>
      <w:proofErr w:type="spellEnd"/>
      <w:r>
        <w:rPr>
          <w:i/>
          <w:iCs/>
        </w:rPr>
        <w:t xml:space="preserve"> design »</w:t>
      </w:r>
      <w:r>
        <w:rPr>
          <w:noProof/>
        </w:rPr>
        <w:t xml:space="preserve"> (Buclet, 2011)</w:t>
      </w:r>
      <w:r>
        <w:t>.</w:t>
      </w:r>
      <w:r w:rsidR="00FF2B6B">
        <w:t xml:space="preserve"> La frise suivante propose une synthèse de l’apparition de la notion du principe d’</w:t>
      </w:r>
      <w:r w:rsidR="00F32D15">
        <w:t>EI</w:t>
      </w:r>
      <w:r w:rsidR="00FF2B6B">
        <w:t>.</w:t>
      </w:r>
    </w:p>
    <w:p w:rsidR="00F32D15" w:rsidRDefault="00F32D15">
      <w:pPr>
        <w:pStyle w:val="Lgende"/>
        <w:jc w:val="center"/>
        <w:rPr>
          <w:b/>
          <w:bCs/>
          <w:i w:val="0"/>
          <w:iCs w:val="0"/>
          <w:color w:val="auto"/>
          <w:sz w:val="24"/>
          <w:szCs w:val="24"/>
          <w:u w:val="single"/>
        </w:rPr>
      </w:pPr>
    </w:p>
    <w:p w:rsidR="00F32D15" w:rsidRDefault="00F32D15">
      <w:pPr>
        <w:pStyle w:val="Lgende"/>
        <w:jc w:val="center"/>
        <w:rPr>
          <w:b/>
          <w:bCs/>
          <w:i w:val="0"/>
          <w:iCs w:val="0"/>
          <w:color w:val="auto"/>
          <w:sz w:val="24"/>
          <w:szCs w:val="24"/>
          <w:u w:val="single"/>
        </w:rPr>
      </w:pPr>
    </w:p>
    <w:p w:rsidR="00F32D15" w:rsidRDefault="00F32D15">
      <w:pPr>
        <w:pStyle w:val="Lgende"/>
        <w:jc w:val="center"/>
        <w:rPr>
          <w:b/>
          <w:bCs/>
          <w:i w:val="0"/>
          <w:iCs w:val="0"/>
          <w:color w:val="auto"/>
          <w:sz w:val="24"/>
          <w:szCs w:val="24"/>
          <w:u w:val="single"/>
        </w:rPr>
      </w:pPr>
    </w:p>
    <w:p w:rsidR="00F32D15" w:rsidRDefault="00F32D15">
      <w:pPr>
        <w:pStyle w:val="Lgende"/>
        <w:jc w:val="center"/>
        <w:rPr>
          <w:b/>
          <w:bCs/>
          <w:i w:val="0"/>
          <w:iCs w:val="0"/>
          <w:color w:val="auto"/>
          <w:sz w:val="24"/>
          <w:szCs w:val="24"/>
          <w:u w:val="single"/>
        </w:rPr>
      </w:pPr>
    </w:p>
    <w:p w:rsidR="00F32D15" w:rsidRDefault="00F32D15">
      <w:pPr>
        <w:pStyle w:val="Lgende"/>
        <w:jc w:val="center"/>
        <w:rPr>
          <w:b/>
          <w:bCs/>
          <w:i w:val="0"/>
          <w:iCs w:val="0"/>
          <w:color w:val="auto"/>
          <w:sz w:val="24"/>
          <w:szCs w:val="24"/>
          <w:u w:val="single"/>
        </w:rPr>
      </w:pPr>
    </w:p>
    <w:p w:rsidR="00F32D15" w:rsidRDefault="00F32D15">
      <w:pPr>
        <w:pStyle w:val="Lgende"/>
        <w:jc w:val="center"/>
        <w:rPr>
          <w:b/>
          <w:bCs/>
          <w:i w:val="0"/>
          <w:iCs w:val="0"/>
          <w:color w:val="auto"/>
          <w:sz w:val="24"/>
          <w:szCs w:val="24"/>
          <w:u w:val="single"/>
        </w:rPr>
      </w:pPr>
    </w:p>
    <w:p w:rsidR="00F32D15" w:rsidRDefault="00F32D15">
      <w:pPr>
        <w:pStyle w:val="Lgende"/>
        <w:jc w:val="center"/>
        <w:rPr>
          <w:b/>
          <w:bCs/>
          <w:i w:val="0"/>
          <w:iCs w:val="0"/>
          <w:color w:val="auto"/>
          <w:sz w:val="24"/>
          <w:szCs w:val="24"/>
          <w:u w:val="single"/>
        </w:rPr>
      </w:pPr>
    </w:p>
    <w:p w:rsidR="00F32D15" w:rsidRDefault="00F32D15">
      <w:pPr>
        <w:pStyle w:val="Lgende"/>
        <w:jc w:val="center"/>
        <w:rPr>
          <w:b/>
          <w:bCs/>
          <w:i w:val="0"/>
          <w:iCs w:val="0"/>
          <w:color w:val="auto"/>
          <w:sz w:val="24"/>
          <w:szCs w:val="24"/>
          <w:u w:val="single"/>
        </w:rPr>
      </w:pPr>
    </w:p>
    <w:p w:rsidR="00DF528A" w:rsidRDefault="00F32D15">
      <w:pPr>
        <w:pStyle w:val="Lgende"/>
        <w:jc w:val="center"/>
        <w:rPr>
          <w:b/>
          <w:bCs/>
          <w:i w:val="0"/>
          <w:iCs w:val="0"/>
          <w:color w:val="auto"/>
          <w:sz w:val="24"/>
          <w:szCs w:val="24"/>
        </w:rPr>
      </w:pPr>
      <w:r>
        <w:rPr>
          <w:b/>
          <w:bCs/>
          <w:i w:val="0"/>
          <w:iCs w:val="0"/>
          <w:color w:val="auto"/>
          <w:sz w:val="24"/>
          <w:szCs w:val="24"/>
          <w:u w:val="single"/>
        </w:rPr>
        <w:lastRenderedPageBreak/>
        <w:t>Graph 1 :</w:t>
      </w:r>
      <w:r w:rsidR="00DF528A">
        <w:rPr>
          <w:b/>
          <w:bCs/>
          <w:i w:val="0"/>
          <w:iCs w:val="0"/>
          <w:sz w:val="24"/>
          <w:szCs w:val="24"/>
        </w:rPr>
        <w:t xml:space="preserve"> </w:t>
      </w:r>
      <w:r w:rsidR="00DF528A">
        <w:rPr>
          <w:b/>
          <w:bCs/>
          <w:i w:val="0"/>
          <w:iCs w:val="0"/>
          <w:color w:val="auto"/>
          <w:sz w:val="24"/>
          <w:szCs w:val="24"/>
        </w:rPr>
        <w:t>Historique de l'apparition du concept d'Ecologie Industrielle</w:t>
      </w:r>
    </w:p>
    <w:p w:rsidR="00DF528A" w:rsidRDefault="002667FB" w:rsidP="006B1C99">
      <w:pPr>
        <w:spacing w:after="0"/>
        <w:jc w:val="both"/>
      </w:pPr>
      <w:r w:rsidRPr="00735264">
        <w:rPr>
          <w:noProof/>
          <w:lang w:eastAsia="fr-FR"/>
        </w:rPr>
        <w:drawing>
          <wp:inline distT="0" distB="0" distL="0" distR="0">
            <wp:extent cx="5753100" cy="2647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r w:rsidR="00DF528A">
        <w:t>A la fin des années 2000, un premier recensement des travaux sur l’</w:t>
      </w:r>
      <w:r w:rsidR="00F32D15">
        <w:t>EI est</w:t>
      </w:r>
      <w:r w:rsidR="00DF528A">
        <w:t xml:space="preserve"> effectué par </w:t>
      </w:r>
      <w:proofErr w:type="spellStart"/>
      <w:r w:rsidR="00DF528A">
        <w:t>Beaurain</w:t>
      </w:r>
      <w:proofErr w:type="spellEnd"/>
      <w:r w:rsidR="00DF528A">
        <w:t xml:space="preserve"> Christophe et </w:t>
      </w:r>
      <w:proofErr w:type="spellStart"/>
      <w:r w:rsidR="00DF528A">
        <w:t>Brullot</w:t>
      </w:r>
      <w:proofErr w:type="spellEnd"/>
      <w:r w:rsidR="00DF528A">
        <w:t xml:space="preserve"> Sabrina (2011) dans leur article intitulé : </w:t>
      </w:r>
      <w:r w:rsidR="00DF528A">
        <w:rPr>
          <w:i/>
          <w:iCs/>
        </w:rPr>
        <w:t>« L'écologie industrielle comme processus de développement territorial: une lecture par la proximité »</w:t>
      </w:r>
      <w:r w:rsidR="00DF528A">
        <w:t xml:space="preserve">. Il permettra de diviser les travaux sur le thème de l’EI en deux visions distinctes : une vision très technique portée par </w:t>
      </w:r>
      <w:proofErr w:type="spellStart"/>
      <w:r w:rsidR="00DF528A">
        <w:t>B.Allenby</w:t>
      </w:r>
      <w:proofErr w:type="spellEnd"/>
      <w:r w:rsidR="00DF528A">
        <w:t xml:space="preserve"> et une vision </w:t>
      </w:r>
      <w:proofErr w:type="spellStart"/>
      <w:r w:rsidR="00DF528A">
        <w:t>anthropocentrée</w:t>
      </w:r>
      <w:proofErr w:type="spellEnd"/>
      <w:r w:rsidR="00DF528A">
        <w:t xml:space="preserve"> portée par </w:t>
      </w:r>
      <w:proofErr w:type="spellStart"/>
      <w:r w:rsidR="00DF528A">
        <w:t>J.Ehrenfeld</w:t>
      </w:r>
      <w:proofErr w:type="spellEnd"/>
      <w:r w:rsidR="00DF528A">
        <w:t>.</w:t>
      </w:r>
    </w:p>
    <w:p w:rsidR="00DF528A" w:rsidRDefault="00DF528A" w:rsidP="006B1C99">
      <w:pPr>
        <w:pStyle w:val="Corpsdetexte"/>
        <w:spacing w:after="0"/>
      </w:pPr>
      <w:r>
        <w:t xml:space="preserve">Plus récemment des travaux effectués par Renaud </w:t>
      </w:r>
      <w:proofErr w:type="spellStart"/>
      <w:r>
        <w:t>Metereau</w:t>
      </w:r>
      <w:proofErr w:type="spellEnd"/>
      <w:r>
        <w:t xml:space="preserve"> et Catherine Figuière (2014) ont </w:t>
      </w:r>
      <w:r w:rsidR="004C25E4">
        <w:t xml:space="preserve">proposés une classification </w:t>
      </w:r>
      <w:r>
        <w:t xml:space="preserve"> de travaux sur l’EI en trois catégories :</w:t>
      </w:r>
    </w:p>
    <w:p w:rsidR="006B1C99" w:rsidRDefault="00DF528A" w:rsidP="006B1C99">
      <w:pPr>
        <w:spacing w:after="0"/>
        <w:jc w:val="both"/>
      </w:pPr>
      <w:r>
        <w:t xml:space="preserve"> </w:t>
      </w:r>
      <w:r w:rsidR="004C25E4">
        <w:rPr>
          <w:b/>
          <w:bCs/>
        </w:rPr>
        <w:t xml:space="preserve">La première catégorie </w:t>
      </w:r>
      <w:r w:rsidR="004C25E4" w:rsidRPr="004C25E4">
        <w:rPr>
          <w:bCs/>
        </w:rPr>
        <w:t>constitue</w:t>
      </w:r>
      <w:r>
        <w:t xml:space="preserve"> un socle technique qui détaille les outils et les méthodes de mise en œuvre des principes de l’E.I. : l’utilisation du métabolisme industriel afin de mettre en œuvre le principe de bouclage des flux de matières et d’énergies. Les travaux de ce socle technique émanent pour la plupart de travaux d’écologues ou d’ingénieurs. </w:t>
      </w:r>
    </w:p>
    <w:p w:rsidR="00DF528A" w:rsidRDefault="00DF528A">
      <w:pPr>
        <w:jc w:val="both"/>
      </w:pPr>
      <w:r>
        <w:t xml:space="preserve">Les travaux issus de la première catégorie peuvent facilement être </w:t>
      </w:r>
      <w:r w:rsidRPr="006B1C99">
        <w:t xml:space="preserve">considérés </w:t>
      </w:r>
      <w:r>
        <w:t xml:space="preserve">comme fondateurs pour l’EI. </w:t>
      </w:r>
    </w:p>
    <w:p w:rsidR="00DF528A" w:rsidRDefault="00DF528A" w:rsidP="006B1C99">
      <w:pPr>
        <w:spacing w:after="0"/>
        <w:jc w:val="both"/>
        <w:rPr>
          <w:i/>
          <w:iCs/>
        </w:rPr>
      </w:pPr>
      <w:r>
        <w:t xml:space="preserve">Ils ont permis de doter l’EI, d’un outil de mise en œuvre, le métabolisme industriel. Le métabolisme industriel permet d’avoir une vision de l’ensemble des substrats biophysiques du système industriel </w:t>
      </w:r>
      <w:r>
        <w:rPr>
          <w:noProof/>
        </w:rPr>
        <w:t>(Diemer, 2012)</w:t>
      </w:r>
      <w:r>
        <w:t xml:space="preserve">. Il repose sur le principe de conservation de la masse, c’est-à-dire que la quantité de matière résultant de l’activité humaine et transitant dans la biosphère reste constante. L’approche en termes de métabolisme industriel doit permettre de recueillir des données quantitatives et qualitatives sur ces différents flux. Sa méthodologie consiste donc à </w:t>
      </w:r>
      <w:r>
        <w:rPr>
          <w:i/>
          <w:iCs/>
        </w:rPr>
        <w:t xml:space="preserve">« établir des bilans de masse, à estimer les flux et les stocks de matière, à retracer </w:t>
      </w:r>
      <w:r w:rsidRPr="006B1C99">
        <w:rPr>
          <w:i/>
          <w:iCs/>
        </w:rPr>
        <w:t>leurs itinéraires et leurs dynamiques complexes, mais également à préciser leur état</w:t>
      </w:r>
      <w:r>
        <w:rPr>
          <w:i/>
          <w:iCs/>
        </w:rPr>
        <w:t xml:space="preserve"> physique et chimique.» </w:t>
      </w:r>
      <w:r>
        <w:rPr>
          <w:noProof/>
        </w:rPr>
        <w:t>(Erkmann, 2004, p. 68)</w:t>
      </w:r>
      <w:r>
        <w:rPr>
          <w:i/>
          <w:iCs/>
        </w:rPr>
        <w:t>.</w:t>
      </w:r>
    </w:p>
    <w:p w:rsidR="00DF528A" w:rsidRDefault="00DF528A" w:rsidP="006B1C99">
      <w:pPr>
        <w:spacing w:after="0"/>
        <w:jc w:val="both"/>
      </w:pPr>
      <w:r>
        <w:lastRenderedPageBreak/>
        <w:t xml:space="preserve">Les deux catégories suivantes se différencient par leurs appropriations de ce socle commun. </w:t>
      </w:r>
      <w:r>
        <w:rPr>
          <w:b/>
          <w:bCs/>
        </w:rPr>
        <w:t xml:space="preserve">La deuxième catégorie </w:t>
      </w:r>
      <w:r>
        <w:t>de travaux est considérée comme une approche strictement économique : l’Ecologie Industrielle ne constitue alors qu’un levier permettant la réalisation d’objectifs strictement économiques. Cette vision, bien que très répandue, ne permet pas d’aller vers un type d’organisation industrielle véritablement intégrée.</w:t>
      </w:r>
    </w:p>
    <w:p w:rsidR="006B1C99" w:rsidRDefault="00DF528A" w:rsidP="006B1C99">
      <w:pPr>
        <w:spacing w:after="0"/>
        <w:jc w:val="both"/>
      </w:pPr>
      <w:r>
        <w:rPr>
          <w:b/>
          <w:bCs/>
        </w:rPr>
        <w:t xml:space="preserve">La troisième catégorie </w:t>
      </w:r>
      <w:r>
        <w:t>de travaux analyse l’E.I. non plus sous la seule vision économique mais en intégrant des principes sociaux en complément</w:t>
      </w:r>
      <w:r>
        <w:rPr>
          <w:noProof/>
        </w:rPr>
        <w:t xml:space="preserve"> (Metereau &amp; Figuière, 2014)</w:t>
      </w:r>
      <w:r>
        <w:t xml:space="preserve">. </w:t>
      </w:r>
    </w:p>
    <w:p w:rsidR="006B1C99" w:rsidRPr="006B1C99" w:rsidRDefault="0072378A" w:rsidP="006B1C99">
      <w:pPr>
        <w:jc w:val="center"/>
      </w:pPr>
      <w:r>
        <w:rPr>
          <w:b/>
          <w:u w:val="single"/>
        </w:rPr>
        <w:t>Figure 1</w:t>
      </w:r>
      <w:r w:rsidR="006B1C99" w:rsidRPr="006B1C99">
        <w:rPr>
          <w:b/>
          <w:u w:val="single"/>
        </w:rPr>
        <w:t> :</w:t>
      </w:r>
      <w:r w:rsidR="006B1C99" w:rsidRPr="006B1C99">
        <w:rPr>
          <w:b/>
        </w:rPr>
        <w:t xml:space="preserve"> Trois catégories de travaux en Ecologie Industrielle</w:t>
      </w:r>
    </w:p>
    <w:p w:rsidR="006B1C99" w:rsidRDefault="002667FB">
      <w:pPr>
        <w:jc w:val="both"/>
      </w:pPr>
      <w:r w:rsidRPr="002C1291">
        <w:rPr>
          <w:b/>
          <w:smallCaps/>
          <w:noProof/>
          <w:lang w:eastAsia="fr-FR"/>
        </w:rPr>
        <mc:AlternateContent>
          <mc:Choice Requires="wpc">
            <w:drawing>
              <wp:inline distT="0" distB="0" distL="0" distR="0">
                <wp:extent cx="5732780" cy="3705225"/>
                <wp:effectExtent l="22225" t="14605" r="7620" b="13970"/>
                <wp:docPr id="10" name="Zone de dessin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 name="Groupe 152"/>
                        <wpg:cNvGrpSpPr>
                          <a:grpSpLocks/>
                        </wpg:cNvGrpSpPr>
                        <wpg:grpSpPr bwMode="auto">
                          <a:xfrm>
                            <a:off x="269804" y="440803"/>
                            <a:ext cx="5281974" cy="3071421"/>
                            <a:chOff x="2698" y="4408"/>
                            <a:chExt cx="52819" cy="30714"/>
                          </a:xfrm>
                        </wpg:grpSpPr>
                        <wps:wsp>
                          <wps:cNvPr id="3" name="Rectangle 2"/>
                          <wps:cNvSpPr>
                            <a:spLocks noChangeArrowheads="1"/>
                          </wps:cNvSpPr>
                          <wps:spPr bwMode="auto">
                            <a:xfrm>
                              <a:off x="12350" y="4408"/>
                              <a:ext cx="31140" cy="10897"/>
                            </a:xfrm>
                            <a:prstGeom prst="rect">
                              <a:avLst/>
                            </a:prstGeom>
                            <a:solidFill>
                              <a:srgbClr val="FFFFFF"/>
                            </a:solidFill>
                            <a:ln w="25400">
                              <a:solidFill>
                                <a:srgbClr val="000000"/>
                              </a:solidFill>
                              <a:miter lim="800000"/>
                              <a:headEnd/>
                              <a:tailEnd/>
                            </a:ln>
                          </wps:spPr>
                          <wps:txbx>
                            <w:txbxContent>
                              <w:p w:rsidR="006B1C99" w:rsidRPr="00AB723F" w:rsidRDefault="006B1C99" w:rsidP="006B1C99">
                                <w:pPr>
                                  <w:spacing w:after="0" w:line="240" w:lineRule="auto"/>
                                  <w:jc w:val="center"/>
                                  <w:rPr>
                                    <w:sz w:val="18"/>
                                    <w:szCs w:val="18"/>
                                    <w:u w:val="single"/>
                                  </w:rPr>
                                </w:pPr>
                                <w:r w:rsidRPr="00AB723F">
                                  <w:rPr>
                                    <w:sz w:val="18"/>
                                    <w:szCs w:val="18"/>
                                    <w:u w:val="single"/>
                                  </w:rPr>
                                  <w:t>L’approche technique de l’écologie industrielle</w:t>
                                </w:r>
                              </w:p>
                              <w:p w:rsidR="006B1C99" w:rsidRPr="00AB723F" w:rsidRDefault="006B1C99" w:rsidP="006B1C99">
                                <w:pPr>
                                  <w:spacing w:after="0" w:line="240" w:lineRule="auto"/>
                                  <w:jc w:val="center"/>
                                  <w:rPr>
                                    <w:sz w:val="18"/>
                                    <w:szCs w:val="18"/>
                                    <w:u w:val="single"/>
                                  </w:rPr>
                                </w:pPr>
                                <w:proofErr w:type="gramStart"/>
                                <w:r w:rsidRPr="00AB723F">
                                  <w:rPr>
                                    <w:sz w:val="18"/>
                                    <w:szCs w:val="18"/>
                                    <w:u w:val="single"/>
                                  </w:rPr>
                                  <w:t>comme</w:t>
                                </w:r>
                                <w:proofErr w:type="gramEnd"/>
                                <w:r w:rsidRPr="00AB723F">
                                  <w:rPr>
                                    <w:sz w:val="18"/>
                                    <w:szCs w:val="18"/>
                                    <w:u w:val="single"/>
                                  </w:rPr>
                                  <w:t xml:space="preserve"> « socle commun »</w:t>
                                </w:r>
                              </w:p>
                              <w:p w:rsidR="006B1C99" w:rsidRPr="00AB723F" w:rsidRDefault="006B1C99" w:rsidP="006B1C99">
                                <w:pPr>
                                  <w:spacing w:after="0" w:line="240" w:lineRule="auto"/>
                                  <w:jc w:val="center"/>
                                  <w:rPr>
                                    <w:sz w:val="18"/>
                                    <w:szCs w:val="18"/>
                                    <w:u w:val="single"/>
                                  </w:rPr>
                                </w:pPr>
                                <w:r w:rsidRPr="00AB723F">
                                  <w:rPr>
                                    <w:sz w:val="18"/>
                                    <w:szCs w:val="18"/>
                                    <w:u w:val="single"/>
                                  </w:rPr>
                                  <w:t>Le bouclage des flux comme principe de base</w:t>
                                </w:r>
                              </w:p>
                              <w:p w:rsidR="006B1C99" w:rsidRPr="00C353D2" w:rsidRDefault="006B1C99" w:rsidP="006B1C99">
                                <w:pPr>
                                  <w:spacing w:after="0" w:line="240" w:lineRule="auto"/>
                                  <w:jc w:val="center"/>
                                  <w:rPr>
                                    <w:rFonts w:cs="Calibri"/>
                                    <w:sz w:val="18"/>
                                    <w:szCs w:val="18"/>
                                    <w:lang w:val="en-US"/>
                                  </w:rPr>
                                </w:pPr>
                                <w:r w:rsidRPr="00C353D2">
                                  <w:rPr>
                                    <w:rFonts w:cs="Calibri"/>
                                    <w:sz w:val="18"/>
                                    <w:szCs w:val="18"/>
                                    <w:lang w:val="en-US"/>
                                  </w:rPr>
                                  <w:t xml:space="preserve">Frosh/Gallopoulos 1989, </w:t>
                                </w:r>
                                <w:proofErr w:type="spellStart"/>
                                <w:r w:rsidRPr="00C353D2">
                                  <w:rPr>
                                    <w:rFonts w:cs="Calibri"/>
                                    <w:sz w:val="18"/>
                                    <w:szCs w:val="18"/>
                                    <w:lang w:val="en-US"/>
                                  </w:rPr>
                                  <w:t>Graedel</w:t>
                                </w:r>
                                <w:proofErr w:type="spellEnd"/>
                                <w:r w:rsidRPr="00C353D2">
                                  <w:rPr>
                                    <w:rFonts w:cs="Calibri"/>
                                    <w:sz w:val="18"/>
                                    <w:szCs w:val="18"/>
                                    <w:lang w:val="en-US"/>
                                  </w:rPr>
                                  <w:t xml:space="preserve"> 1994</w:t>
                                </w:r>
                              </w:p>
                              <w:p w:rsidR="006B1C99" w:rsidRPr="00C353D2" w:rsidRDefault="006B1C99" w:rsidP="006B1C99">
                                <w:pPr>
                                  <w:spacing w:after="0" w:line="240" w:lineRule="auto"/>
                                  <w:jc w:val="center"/>
                                  <w:rPr>
                                    <w:rFonts w:cs="Calibri"/>
                                    <w:sz w:val="18"/>
                                    <w:szCs w:val="18"/>
                                    <w:lang w:val="en-US"/>
                                  </w:rPr>
                                </w:pPr>
                                <w:r w:rsidRPr="00C353D2">
                                  <w:rPr>
                                    <w:rFonts w:cs="Calibri"/>
                                    <w:sz w:val="18"/>
                                    <w:szCs w:val="18"/>
                                    <w:lang w:val="en-US"/>
                                  </w:rPr>
                                  <w:t xml:space="preserve">Allenby/Cooper 1994, </w:t>
                                </w:r>
                                <w:proofErr w:type="spellStart"/>
                                <w:r w:rsidRPr="00C353D2">
                                  <w:rPr>
                                    <w:rFonts w:cs="Calibri"/>
                                    <w:sz w:val="18"/>
                                    <w:szCs w:val="18"/>
                                    <w:lang w:val="en-US"/>
                                  </w:rPr>
                                  <w:t>Erkman</w:t>
                                </w:r>
                                <w:proofErr w:type="spellEnd"/>
                                <w:r w:rsidRPr="00C353D2">
                                  <w:rPr>
                                    <w:rFonts w:cs="Calibri"/>
                                    <w:sz w:val="18"/>
                                    <w:szCs w:val="18"/>
                                    <w:lang w:val="en-US"/>
                                  </w:rPr>
                                  <w:t xml:space="preserve"> 1998</w:t>
                                </w:r>
                              </w:p>
                              <w:p w:rsidR="006B1C99" w:rsidRPr="00C353D2" w:rsidRDefault="006B1C99" w:rsidP="006B1C99">
                                <w:pPr>
                                  <w:spacing w:after="0" w:line="240" w:lineRule="auto"/>
                                  <w:jc w:val="center"/>
                                  <w:rPr>
                                    <w:rFonts w:cs="Calibri"/>
                                    <w:sz w:val="18"/>
                                    <w:szCs w:val="18"/>
                                    <w:lang w:val="en-US"/>
                                  </w:rPr>
                                </w:pPr>
                                <w:proofErr w:type="spellStart"/>
                                <w:r w:rsidRPr="00C353D2">
                                  <w:rPr>
                                    <w:rFonts w:cs="Calibri"/>
                                    <w:sz w:val="18"/>
                                    <w:szCs w:val="18"/>
                                    <w:lang w:val="en-US"/>
                                  </w:rPr>
                                  <w:t>Lifset</w:t>
                                </w:r>
                                <w:proofErr w:type="spellEnd"/>
                                <w:r w:rsidRPr="00C353D2">
                                  <w:rPr>
                                    <w:rFonts w:cs="Calibri"/>
                                    <w:sz w:val="18"/>
                                    <w:szCs w:val="18"/>
                                    <w:lang w:val="en-US"/>
                                  </w:rPr>
                                  <w:t>/</w:t>
                                </w:r>
                                <w:proofErr w:type="spellStart"/>
                                <w:r w:rsidRPr="00C353D2">
                                  <w:rPr>
                                    <w:rFonts w:cs="Calibri"/>
                                    <w:sz w:val="18"/>
                                    <w:szCs w:val="18"/>
                                    <w:lang w:val="en-US"/>
                                  </w:rPr>
                                  <w:t>Graedel</w:t>
                                </w:r>
                                <w:proofErr w:type="spellEnd"/>
                                <w:r w:rsidRPr="00C353D2">
                                  <w:rPr>
                                    <w:rFonts w:cs="Calibri"/>
                                    <w:sz w:val="18"/>
                                    <w:szCs w:val="18"/>
                                    <w:lang w:val="en-US"/>
                                  </w:rPr>
                                  <w:t xml:space="preserve"> 2002</w:t>
                                </w:r>
                              </w:p>
                            </w:txbxContent>
                          </wps:txbx>
                          <wps:bodyPr rot="0" vert="horz" wrap="square" lIns="91440" tIns="45720" rIns="91440" bIns="45720" anchor="ctr" anchorCtr="0" upright="1">
                            <a:noAutofit/>
                          </wps:bodyPr>
                        </wps:wsp>
                        <wps:wsp>
                          <wps:cNvPr id="4" name="Rectangle 3"/>
                          <wps:cNvSpPr>
                            <a:spLocks noChangeArrowheads="1"/>
                          </wps:cNvSpPr>
                          <wps:spPr bwMode="auto">
                            <a:xfrm>
                              <a:off x="5960" y="19217"/>
                              <a:ext cx="43897" cy="3524"/>
                            </a:xfrm>
                            <a:prstGeom prst="rect">
                              <a:avLst/>
                            </a:prstGeom>
                            <a:solidFill>
                              <a:srgbClr val="FFFFFF"/>
                            </a:solidFill>
                            <a:ln w="25400">
                              <a:solidFill>
                                <a:srgbClr val="000000"/>
                              </a:solidFill>
                              <a:miter lim="800000"/>
                              <a:headEnd/>
                              <a:tailEnd/>
                            </a:ln>
                          </wps:spPr>
                          <wps:txbx>
                            <w:txbxContent>
                              <w:p w:rsidR="006B1C99" w:rsidRPr="00C353D2" w:rsidRDefault="006B1C99" w:rsidP="006B1C99">
                                <w:pPr>
                                  <w:pStyle w:val="NormalWeb"/>
                                  <w:spacing w:after="0" w:line="276" w:lineRule="auto"/>
                                  <w:jc w:val="center"/>
                                  <w:rPr>
                                    <w:rFonts w:ascii="Calibri" w:hAnsi="Calibri" w:cs="Calibri"/>
                                    <w:sz w:val="20"/>
                                    <w:szCs w:val="20"/>
                                    <w:u w:val="single"/>
                                  </w:rPr>
                                </w:pPr>
                                <w:r w:rsidRPr="00C353D2">
                                  <w:rPr>
                                    <w:rFonts w:ascii="Calibri" w:eastAsia="Calibri" w:hAnsi="Calibri" w:cs="Calibri"/>
                                    <w:bCs/>
                                    <w:sz w:val="20"/>
                                    <w:szCs w:val="20"/>
                                    <w:u w:val="single"/>
                                  </w:rPr>
                                  <w:t>Deux appropriations du socle commun</w:t>
                                </w:r>
                              </w:p>
                            </w:txbxContent>
                          </wps:txbx>
                          <wps:bodyPr rot="0" vert="horz" wrap="square" lIns="91440" tIns="45720" rIns="91440" bIns="45720" anchor="ctr" anchorCtr="0" upright="1">
                            <a:noAutofit/>
                          </wps:bodyPr>
                        </wps:wsp>
                        <wps:wsp>
                          <wps:cNvPr id="5" name="Rectangle à coins arrondis 4"/>
                          <wps:cNvSpPr>
                            <a:spLocks noChangeArrowheads="1"/>
                          </wps:cNvSpPr>
                          <wps:spPr bwMode="auto">
                            <a:xfrm>
                              <a:off x="31577" y="27346"/>
                              <a:ext cx="23940" cy="7776"/>
                            </a:xfrm>
                            <a:prstGeom prst="roundRect">
                              <a:avLst>
                                <a:gd name="adj" fmla="val 16667"/>
                              </a:avLst>
                            </a:prstGeom>
                            <a:solidFill>
                              <a:srgbClr val="FFFFFF"/>
                            </a:solidFill>
                            <a:ln w="25400">
                              <a:solidFill>
                                <a:srgbClr val="000000"/>
                              </a:solidFill>
                              <a:round/>
                              <a:headEnd/>
                              <a:tailEnd/>
                            </a:ln>
                          </wps:spPr>
                          <wps:txbx>
                            <w:txbxContent>
                              <w:p w:rsidR="006B1C99" w:rsidRPr="00AB723F" w:rsidRDefault="006B1C99" w:rsidP="006B1C99">
                                <w:pPr>
                                  <w:spacing w:after="0" w:line="240" w:lineRule="auto"/>
                                  <w:jc w:val="center"/>
                                  <w:rPr>
                                    <w:sz w:val="18"/>
                                    <w:szCs w:val="18"/>
                                    <w:u w:val="single"/>
                                  </w:rPr>
                                </w:pPr>
                                <w:r w:rsidRPr="00AB723F">
                                  <w:rPr>
                                    <w:sz w:val="18"/>
                                    <w:szCs w:val="18"/>
                                    <w:u w:val="single"/>
                                  </w:rPr>
                                  <w:t xml:space="preserve">Une </w:t>
                                </w:r>
                                <w:r w:rsidR="004C25E4">
                                  <w:rPr>
                                    <w:sz w:val="18"/>
                                    <w:szCs w:val="18"/>
                                    <w:u w:val="single"/>
                                  </w:rPr>
                                  <w:t>Economie Politique de l’EI</w:t>
                                </w:r>
                              </w:p>
                              <w:p w:rsidR="006B1C99" w:rsidRPr="00C353D2" w:rsidRDefault="006B1C99" w:rsidP="006B1C99">
                                <w:pPr>
                                  <w:spacing w:after="0" w:line="240" w:lineRule="auto"/>
                                  <w:jc w:val="center"/>
                                  <w:rPr>
                                    <w:rFonts w:cs="Calibri"/>
                                    <w:bCs/>
                                    <w:smallCaps/>
                                    <w:sz w:val="18"/>
                                    <w:szCs w:val="18"/>
                                  </w:rPr>
                                </w:pPr>
                                <w:r w:rsidRPr="00C353D2">
                                  <w:rPr>
                                    <w:rFonts w:cs="Calibri"/>
                                    <w:bCs/>
                                    <w:sz w:val="18"/>
                                    <w:szCs w:val="18"/>
                                  </w:rPr>
                                  <w:t>Ehrenfeld</w:t>
                                </w:r>
                                <w:r w:rsidRPr="00C353D2">
                                  <w:rPr>
                                    <w:rFonts w:cs="Calibri"/>
                                    <w:bCs/>
                                    <w:smallCaps/>
                                    <w:sz w:val="18"/>
                                    <w:szCs w:val="18"/>
                                  </w:rPr>
                                  <w:t xml:space="preserve"> 2000/2004</w:t>
                                </w:r>
                              </w:p>
                              <w:p w:rsidR="006B1C99" w:rsidRPr="00C353D2" w:rsidRDefault="006B1C99" w:rsidP="006B1C99">
                                <w:pPr>
                                  <w:spacing w:after="0" w:line="240" w:lineRule="auto"/>
                                  <w:jc w:val="center"/>
                                  <w:rPr>
                                    <w:rFonts w:cs="Calibri"/>
                                    <w:bCs/>
                                    <w:sz w:val="18"/>
                                    <w:szCs w:val="18"/>
                                  </w:rPr>
                                </w:pPr>
                                <w:r w:rsidRPr="00C353D2">
                                  <w:rPr>
                                    <w:rFonts w:cs="Calibri"/>
                                    <w:bCs/>
                                    <w:sz w:val="18"/>
                                    <w:szCs w:val="18"/>
                                  </w:rPr>
                                  <w:t>Hoffman 2003</w:t>
                                </w:r>
                              </w:p>
                              <w:p w:rsidR="006B1C99" w:rsidRPr="00C353D2" w:rsidRDefault="006B1C99" w:rsidP="006B1C99">
                                <w:pPr>
                                  <w:spacing w:after="0" w:line="240" w:lineRule="auto"/>
                                  <w:jc w:val="center"/>
                                  <w:rPr>
                                    <w:rFonts w:cs="Calibri"/>
                                    <w:sz w:val="18"/>
                                    <w:szCs w:val="18"/>
                                  </w:rPr>
                                </w:pPr>
                                <w:r w:rsidRPr="00C353D2">
                                  <w:rPr>
                                    <w:rFonts w:cs="Calibri"/>
                                    <w:bCs/>
                                    <w:sz w:val="18"/>
                                    <w:szCs w:val="18"/>
                                  </w:rPr>
                                  <w:t xml:space="preserve">Cohen </w:t>
                                </w:r>
                                <w:proofErr w:type="spellStart"/>
                                <w:r w:rsidRPr="00C353D2">
                                  <w:rPr>
                                    <w:rFonts w:cs="Calibri"/>
                                    <w:bCs/>
                                    <w:sz w:val="18"/>
                                    <w:szCs w:val="18"/>
                                  </w:rPr>
                                  <w:t>Rosenthal</w:t>
                                </w:r>
                                <w:proofErr w:type="spellEnd"/>
                                <w:r w:rsidRPr="00C353D2">
                                  <w:rPr>
                                    <w:rFonts w:cs="Calibri"/>
                                    <w:bCs/>
                                    <w:sz w:val="18"/>
                                    <w:szCs w:val="18"/>
                                  </w:rPr>
                                  <w:t xml:space="preserve"> 2000</w:t>
                                </w:r>
                              </w:p>
                            </w:txbxContent>
                          </wps:txbx>
                          <wps:bodyPr rot="0" vert="horz" wrap="square" lIns="91440" tIns="45720" rIns="91440" bIns="45720" anchor="ctr" anchorCtr="0" upright="1">
                            <a:noAutofit/>
                          </wps:bodyPr>
                        </wps:wsp>
                        <wps:wsp>
                          <wps:cNvPr id="6" name="Rectangle à coins arrondis 5"/>
                          <wps:cNvSpPr>
                            <a:spLocks noChangeArrowheads="1"/>
                          </wps:cNvSpPr>
                          <wps:spPr bwMode="auto">
                            <a:xfrm>
                              <a:off x="2698" y="27349"/>
                              <a:ext cx="22101" cy="7771"/>
                            </a:xfrm>
                            <a:prstGeom prst="roundRect">
                              <a:avLst>
                                <a:gd name="adj" fmla="val 16667"/>
                              </a:avLst>
                            </a:prstGeom>
                            <a:solidFill>
                              <a:srgbClr val="FFFFFF"/>
                            </a:solidFill>
                            <a:ln w="25400">
                              <a:solidFill>
                                <a:srgbClr val="000000"/>
                              </a:solidFill>
                              <a:round/>
                              <a:headEnd/>
                              <a:tailEnd/>
                            </a:ln>
                          </wps:spPr>
                          <wps:txbx>
                            <w:txbxContent>
                              <w:p w:rsidR="006B1C99" w:rsidRPr="00C353D2" w:rsidRDefault="006B1C99" w:rsidP="006B1C99">
                                <w:pPr>
                                  <w:pStyle w:val="NormalWeb"/>
                                  <w:spacing w:after="0"/>
                                  <w:jc w:val="center"/>
                                  <w:rPr>
                                    <w:rFonts w:ascii="Calibri" w:eastAsia="Calibri" w:hAnsi="Calibri" w:cs="Calibri"/>
                                    <w:bCs/>
                                    <w:sz w:val="18"/>
                                    <w:szCs w:val="18"/>
                                    <w:u w:val="single"/>
                                  </w:rPr>
                                </w:pPr>
                                <w:r w:rsidRPr="00C353D2">
                                  <w:rPr>
                                    <w:rFonts w:ascii="Calibri" w:eastAsia="Calibri" w:hAnsi="Calibri" w:cs="Calibri"/>
                                    <w:bCs/>
                                    <w:sz w:val="18"/>
                                    <w:szCs w:val="18"/>
                                    <w:u w:val="single"/>
                                  </w:rPr>
                                  <w:t>Une approche libérale</w:t>
                                </w:r>
                                <w:r w:rsidR="004C25E4">
                                  <w:rPr>
                                    <w:rFonts w:ascii="Calibri" w:eastAsia="Calibri" w:hAnsi="Calibri" w:cs="Calibri"/>
                                    <w:bCs/>
                                    <w:sz w:val="18"/>
                                    <w:szCs w:val="18"/>
                                    <w:u w:val="single"/>
                                  </w:rPr>
                                  <w:t xml:space="preserve"> de l’EI</w:t>
                                </w:r>
                              </w:p>
                              <w:p w:rsidR="006B1C99" w:rsidRPr="00C353D2" w:rsidRDefault="006B1C99" w:rsidP="006B1C99">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Allenby 1999a/1999b</w:t>
                                </w:r>
                              </w:p>
                              <w:p w:rsidR="006B1C99" w:rsidRPr="00C353D2" w:rsidRDefault="006B1C99" w:rsidP="006B1C99">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Lombardi/</w:t>
                                </w:r>
                                <w:proofErr w:type="spellStart"/>
                                <w:r w:rsidRPr="00C353D2">
                                  <w:rPr>
                                    <w:rFonts w:ascii="Calibri" w:eastAsia="Calibri" w:hAnsi="Calibri" w:cs="Calibri"/>
                                    <w:bCs/>
                                    <w:sz w:val="18"/>
                                    <w:szCs w:val="18"/>
                                  </w:rPr>
                                  <w:t>Laybourn</w:t>
                                </w:r>
                                <w:proofErr w:type="spellEnd"/>
                                <w:r w:rsidRPr="00C353D2">
                                  <w:rPr>
                                    <w:rFonts w:ascii="Calibri" w:eastAsia="Calibri" w:hAnsi="Calibri" w:cs="Calibri"/>
                                    <w:bCs/>
                                    <w:sz w:val="18"/>
                                    <w:szCs w:val="18"/>
                                  </w:rPr>
                                  <w:t xml:space="preserve"> 2012</w:t>
                                </w:r>
                              </w:p>
                            </w:txbxContent>
                          </wps:txbx>
                          <wps:bodyPr rot="0" vert="horz" wrap="square" lIns="91440" tIns="45720" rIns="91440" bIns="45720" anchor="ctr" anchorCtr="0" upright="1">
                            <a:noAutofit/>
                          </wps:bodyPr>
                        </wps:wsp>
                        <wps:wsp>
                          <wps:cNvPr id="7" name="Connecteur droit avec flèche 6"/>
                          <wps:cNvCnPr>
                            <a:cxnSpLocks noChangeShapeType="1"/>
                          </wps:cNvCnPr>
                          <wps:spPr bwMode="auto">
                            <a:xfrm>
                              <a:off x="13786" y="22740"/>
                              <a:ext cx="0" cy="4614"/>
                            </a:xfrm>
                            <a:prstGeom prst="straightConnector1">
                              <a:avLst/>
                            </a:prstGeom>
                            <a:noFill/>
                            <a:ln w="57150">
                              <a:solidFill>
                                <a:srgbClr val="000000"/>
                              </a:solidFill>
                              <a:prstDash val="lgDash"/>
                              <a:round/>
                              <a:headEnd/>
                              <a:tailEnd type="arrow" w="med" len="med"/>
                            </a:ln>
                            <a:extLst>
                              <a:ext uri="{909E8E84-426E-40DD-AFC4-6F175D3DCCD1}">
                                <a14:hiddenFill xmlns:a14="http://schemas.microsoft.com/office/drawing/2010/main">
                                  <a:noFill/>
                                </a14:hiddenFill>
                              </a:ext>
                            </a:extLst>
                          </wps:spPr>
                          <wps:bodyPr/>
                        </wps:wsp>
                        <wps:wsp>
                          <wps:cNvPr id="8" name="Connecteur droit avec flèche 7"/>
                          <wps:cNvCnPr>
                            <a:cxnSpLocks noChangeShapeType="1"/>
                          </wps:cNvCnPr>
                          <wps:spPr bwMode="auto">
                            <a:xfrm>
                              <a:off x="43492" y="22740"/>
                              <a:ext cx="0" cy="4610"/>
                            </a:xfrm>
                            <a:prstGeom prst="straightConnector1">
                              <a:avLst/>
                            </a:prstGeom>
                            <a:noFill/>
                            <a:ln w="571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Connecteur droit avec flèche 8"/>
                          <wps:cNvCnPr>
                            <a:cxnSpLocks noChangeShapeType="1"/>
                          </wps:cNvCnPr>
                          <wps:spPr bwMode="auto">
                            <a:xfrm flipH="1">
                              <a:off x="27908" y="15304"/>
                              <a:ext cx="12" cy="3913"/>
                            </a:xfrm>
                            <a:prstGeom prst="straightConnector1">
                              <a:avLst/>
                            </a:prstGeom>
                            <a:noFill/>
                            <a:ln w="57150">
                              <a:solidFill>
                                <a:srgbClr val="000000"/>
                              </a:solidFill>
                              <a:round/>
                              <a:headEnd/>
                              <a:tailEnd type="arrow"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Zone de dessin 100" o:spid="_x0000_s1026" editas="canvas" style="width:451.4pt;height:291.75pt;mso-position-horizontal-relative:char;mso-position-vertical-relative:line" coordsize="57327,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7;height:37052;visibility:visible;mso-wrap-style:square" stroked="t">
                  <v:fill o:detectmouseclick="t"/>
                  <v:path o:connecttype="none"/>
                </v:shape>
                <v:group id="Groupe 152" o:spid="_x0000_s1028" style="position:absolute;left:2698;top:4408;width:52819;height:30714" coordorigin="2698,4408" coordsize="52819,30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left:12350;top:4408;width:31140;height:10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vkMMA&#10;AADaAAAADwAAAGRycy9kb3ducmV2LnhtbESPQWvCQBSE70L/w/IK3nS3KRR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kvkMMAAADaAAAADwAAAAAAAAAAAAAAAACYAgAAZHJzL2Rv&#10;d25yZXYueG1sUEsFBgAAAAAEAAQA9QAAAIgDAAAAAA==&#10;" strokeweight="2pt">
                    <v:textbox>
                      <w:txbxContent>
                        <w:p w:rsidR="006B1C99" w:rsidRPr="00AB723F" w:rsidRDefault="006B1C99" w:rsidP="006B1C99">
                          <w:pPr>
                            <w:spacing w:after="0" w:line="240" w:lineRule="auto"/>
                            <w:jc w:val="center"/>
                            <w:rPr>
                              <w:sz w:val="18"/>
                              <w:szCs w:val="18"/>
                              <w:u w:val="single"/>
                            </w:rPr>
                          </w:pPr>
                          <w:r w:rsidRPr="00AB723F">
                            <w:rPr>
                              <w:sz w:val="18"/>
                              <w:szCs w:val="18"/>
                              <w:u w:val="single"/>
                            </w:rPr>
                            <w:t>L’approche technique de l’écologie industrielle</w:t>
                          </w:r>
                        </w:p>
                        <w:p w:rsidR="006B1C99" w:rsidRPr="00AB723F" w:rsidRDefault="006B1C99" w:rsidP="006B1C99">
                          <w:pPr>
                            <w:spacing w:after="0" w:line="240" w:lineRule="auto"/>
                            <w:jc w:val="center"/>
                            <w:rPr>
                              <w:sz w:val="18"/>
                              <w:szCs w:val="18"/>
                              <w:u w:val="single"/>
                            </w:rPr>
                          </w:pPr>
                          <w:proofErr w:type="gramStart"/>
                          <w:r w:rsidRPr="00AB723F">
                            <w:rPr>
                              <w:sz w:val="18"/>
                              <w:szCs w:val="18"/>
                              <w:u w:val="single"/>
                            </w:rPr>
                            <w:t>comme</w:t>
                          </w:r>
                          <w:proofErr w:type="gramEnd"/>
                          <w:r w:rsidRPr="00AB723F">
                            <w:rPr>
                              <w:sz w:val="18"/>
                              <w:szCs w:val="18"/>
                              <w:u w:val="single"/>
                            </w:rPr>
                            <w:t xml:space="preserve"> « socle commun »</w:t>
                          </w:r>
                        </w:p>
                        <w:p w:rsidR="006B1C99" w:rsidRPr="00AB723F" w:rsidRDefault="006B1C99" w:rsidP="006B1C99">
                          <w:pPr>
                            <w:spacing w:after="0" w:line="240" w:lineRule="auto"/>
                            <w:jc w:val="center"/>
                            <w:rPr>
                              <w:sz w:val="18"/>
                              <w:szCs w:val="18"/>
                              <w:u w:val="single"/>
                            </w:rPr>
                          </w:pPr>
                          <w:r w:rsidRPr="00AB723F">
                            <w:rPr>
                              <w:sz w:val="18"/>
                              <w:szCs w:val="18"/>
                              <w:u w:val="single"/>
                            </w:rPr>
                            <w:t>Le bouclage des flux comme principe de base</w:t>
                          </w:r>
                        </w:p>
                        <w:p w:rsidR="006B1C99" w:rsidRPr="00C353D2" w:rsidRDefault="006B1C99" w:rsidP="006B1C99">
                          <w:pPr>
                            <w:spacing w:after="0" w:line="240" w:lineRule="auto"/>
                            <w:jc w:val="center"/>
                            <w:rPr>
                              <w:rFonts w:cs="Calibri"/>
                              <w:sz w:val="18"/>
                              <w:szCs w:val="18"/>
                              <w:lang w:val="en-US"/>
                            </w:rPr>
                          </w:pPr>
                          <w:r w:rsidRPr="00C353D2">
                            <w:rPr>
                              <w:rFonts w:cs="Calibri"/>
                              <w:sz w:val="18"/>
                              <w:szCs w:val="18"/>
                              <w:lang w:val="en-US"/>
                            </w:rPr>
                            <w:t>Frosh/</w:t>
                          </w:r>
                          <w:proofErr w:type="spellStart"/>
                          <w:r w:rsidRPr="00C353D2">
                            <w:rPr>
                              <w:rFonts w:cs="Calibri"/>
                              <w:sz w:val="18"/>
                              <w:szCs w:val="18"/>
                              <w:lang w:val="en-US"/>
                            </w:rPr>
                            <w:t>Gallopoulos</w:t>
                          </w:r>
                          <w:proofErr w:type="spellEnd"/>
                          <w:r w:rsidRPr="00C353D2">
                            <w:rPr>
                              <w:rFonts w:cs="Calibri"/>
                              <w:sz w:val="18"/>
                              <w:szCs w:val="18"/>
                              <w:lang w:val="en-US"/>
                            </w:rPr>
                            <w:t xml:space="preserve"> 1989, </w:t>
                          </w:r>
                          <w:proofErr w:type="spellStart"/>
                          <w:r w:rsidRPr="00C353D2">
                            <w:rPr>
                              <w:rFonts w:cs="Calibri"/>
                              <w:sz w:val="18"/>
                              <w:szCs w:val="18"/>
                              <w:lang w:val="en-US"/>
                            </w:rPr>
                            <w:t>Graedel</w:t>
                          </w:r>
                          <w:proofErr w:type="spellEnd"/>
                          <w:r w:rsidRPr="00C353D2">
                            <w:rPr>
                              <w:rFonts w:cs="Calibri"/>
                              <w:sz w:val="18"/>
                              <w:szCs w:val="18"/>
                              <w:lang w:val="en-US"/>
                            </w:rPr>
                            <w:t xml:space="preserve"> 1994</w:t>
                          </w:r>
                        </w:p>
                        <w:p w:rsidR="006B1C99" w:rsidRPr="00C353D2" w:rsidRDefault="006B1C99" w:rsidP="006B1C99">
                          <w:pPr>
                            <w:spacing w:after="0" w:line="240" w:lineRule="auto"/>
                            <w:jc w:val="center"/>
                            <w:rPr>
                              <w:rFonts w:cs="Calibri"/>
                              <w:sz w:val="18"/>
                              <w:szCs w:val="18"/>
                              <w:lang w:val="en-US"/>
                            </w:rPr>
                          </w:pPr>
                          <w:r w:rsidRPr="00C353D2">
                            <w:rPr>
                              <w:rFonts w:cs="Calibri"/>
                              <w:sz w:val="18"/>
                              <w:szCs w:val="18"/>
                              <w:lang w:val="en-US"/>
                            </w:rPr>
                            <w:t xml:space="preserve">Allenby/Cooper 1994, </w:t>
                          </w:r>
                          <w:proofErr w:type="spellStart"/>
                          <w:r w:rsidRPr="00C353D2">
                            <w:rPr>
                              <w:rFonts w:cs="Calibri"/>
                              <w:sz w:val="18"/>
                              <w:szCs w:val="18"/>
                              <w:lang w:val="en-US"/>
                            </w:rPr>
                            <w:t>Erkman</w:t>
                          </w:r>
                          <w:proofErr w:type="spellEnd"/>
                          <w:r w:rsidRPr="00C353D2">
                            <w:rPr>
                              <w:rFonts w:cs="Calibri"/>
                              <w:sz w:val="18"/>
                              <w:szCs w:val="18"/>
                              <w:lang w:val="en-US"/>
                            </w:rPr>
                            <w:t xml:space="preserve"> 1998</w:t>
                          </w:r>
                        </w:p>
                        <w:p w:rsidR="006B1C99" w:rsidRPr="00C353D2" w:rsidRDefault="006B1C99" w:rsidP="006B1C99">
                          <w:pPr>
                            <w:spacing w:after="0" w:line="240" w:lineRule="auto"/>
                            <w:jc w:val="center"/>
                            <w:rPr>
                              <w:rFonts w:cs="Calibri"/>
                              <w:sz w:val="18"/>
                              <w:szCs w:val="18"/>
                              <w:lang w:val="en-US"/>
                            </w:rPr>
                          </w:pPr>
                          <w:proofErr w:type="spellStart"/>
                          <w:r w:rsidRPr="00C353D2">
                            <w:rPr>
                              <w:rFonts w:cs="Calibri"/>
                              <w:sz w:val="18"/>
                              <w:szCs w:val="18"/>
                              <w:lang w:val="en-US"/>
                            </w:rPr>
                            <w:t>Lifset</w:t>
                          </w:r>
                          <w:proofErr w:type="spellEnd"/>
                          <w:r w:rsidRPr="00C353D2">
                            <w:rPr>
                              <w:rFonts w:cs="Calibri"/>
                              <w:sz w:val="18"/>
                              <w:szCs w:val="18"/>
                              <w:lang w:val="en-US"/>
                            </w:rPr>
                            <w:t>/</w:t>
                          </w:r>
                          <w:proofErr w:type="spellStart"/>
                          <w:r w:rsidRPr="00C353D2">
                            <w:rPr>
                              <w:rFonts w:cs="Calibri"/>
                              <w:sz w:val="18"/>
                              <w:szCs w:val="18"/>
                              <w:lang w:val="en-US"/>
                            </w:rPr>
                            <w:t>Graedel</w:t>
                          </w:r>
                          <w:proofErr w:type="spellEnd"/>
                          <w:r w:rsidRPr="00C353D2">
                            <w:rPr>
                              <w:rFonts w:cs="Calibri"/>
                              <w:sz w:val="18"/>
                              <w:szCs w:val="18"/>
                              <w:lang w:val="en-US"/>
                            </w:rPr>
                            <w:t xml:space="preserve"> 2002</w:t>
                          </w:r>
                        </w:p>
                      </w:txbxContent>
                    </v:textbox>
                  </v:rect>
                  <v:rect id="Rectangle 3" o:spid="_x0000_s1030" style="position:absolute;left:5960;top:19217;width:4389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35MMA&#10;AADaAAAADwAAAGRycy9kb3ducmV2LnhtbESPQWvCQBSE70L/w/IK3nS3oRR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C35MMAAADaAAAADwAAAAAAAAAAAAAAAACYAgAAZHJzL2Rv&#10;d25yZXYueG1sUEsFBgAAAAAEAAQA9QAAAIgDAAAAAA==&#10;" strokeweight="2pt">
                    <v:textbox>
                      <w:txbxContent>
                        <w:p w:rsidR="006B1C99" w:rsidRPr="00C353D2" w:rsidRDefault="006B1C99" w:rsidP="006B1C99">
                          <w:pPr>
                            <w:pStyle w:val="NormalWeb"/>
                            <w:spacing w:after="0" w:line="276" w:lineRule="auto"/>
                            <w:jc w:val="center"/>
                            <w:rPr>
                              <w:rFonts w:ascii="Calibri" w:hAnsi="Calibri" w:cs="Calibri"/>
                              <w:sz w:val="20"/>
                              <w:szCs w:val="20"/>
                              <w:u w:val="single"/>
                            </w:rPr>
                          </w:pPr>
                          <w:r w:rsidRPr="00C353D2">
                            <w:rPr>
                              <w:rFonts w:ascii="Calibri" w:eastAsia="Calibri" w:hAnsi="Calibri" w:cs="Calibri"/>
                              <w:bCs/>
                              <w:sz w:val="20"/>
                              <w:szCs w:val="20"/>
                              <w:u w:val="single"/>
                            </w:rPr>
                            <w:t>Deux appropriations du socle commun</w:t>
                          </w:r>
                        </w:p>
                      </w:txbxContent>
                    </v:textbox>
                  </v:rect>
                  <v:roundrect id="Rectangle à coins arrondis 4" o:spid="_x0000_s1031" style="position:absolute;left:31577;top:27346;width:23940;height:77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vSz8IA&#10;AADaAAAADwAAAGRycy9kb3ducmV2LnhtbESPzWrCQBSF9wXfYbiCu2aiaKupo4gSKdVNo7i+ZK5J&#10;aOZOyIwxvr1TKHR5OD8fZ7nuTS06al1lWcE4ikEQ51ZXXCg4n9LXOQjnkTXWlknBgxysV4OXJSba&#10;3vmbuswXIoywS1BB6X2TSOnykgy6yDbEwbva1qAPsi2kbvEexk0tJ3H8Jg1WHAglNrQtKf/JbiZA&#10;8JCe91/vY7fbHPfSXKfmspgqNRr2mw8Qnnr/H/5rf2oFM/i9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9LPwgAAANoAAAAPAAAAAAAAAAAAAAAAAJgCAABkcnMvZG93&#10;bnJldi54bWxQSwUGAAAAAAQABAD1AAAAhwMAAAAA&#10;" strokeweight="2pt">
                    <v:textbox>
                      <w:txbxContent>
                        <w:p w:rsidR="006B1C99" w:rsidRPr="00AB723F" w:rsidRDefault="006B1C99" w:rsidP="006B1C99">
                          <w:pPr>
                            <w:spacing w:after="0" w:line="240" w:lineRule="auto"/>
                            <w:jc w:val="center"/>
                            <w:rPr>
                              <w:sz w:val="18"/>
                              <w:szCs w:val="18"/>
                              <w:u w:val="single"/>
                            </w:rPr>
                          </w:pPr>
                          <w:r w:rsidRPr="00AB723F">
                            <w:rPr>
                              <w:sz w:val="18"/>
                              <w:szCs w:val="18"/>
                              <w:u w:val="single"/>
                            </w:rPr>
                            <w:t xml:space="preserve">Une </w:t>
                          </w:r>
                          <w:r w:rsidR="004C25E4">
                            <w:rPr>
                              <w:sz w:val="18"/>
                              <w:szCs w:val="18"/>
                              <w:u w:val="single"/>
                            </w:rPr>
                            <w:t>Economie Politique de l’EI</w:t>
                          </w:r>
                        </w:p>
                        <w:p w:rsidR="006B1C99" w:rsidRPr="00C353D2" w:rsidRDefault="006B1C99" w:rsidP="006B1C99">
                          <w:pPr>
                            <w:spacing w:after="0" w:line="240" w:lineRule="auto"/>
                            <w:jc w:val="center"/>
                            <w:rPr>
                              <w:rFonts w:cs="Calibri"/>
                              <w:bCs/>
                              <w:smallCaps/>
                              <w:sz w:val="18"/>
                              <w:szCs w:val="18"/>
                            </w:rPr>
                          </w:pPr>
                          <w:proofErr w:type="spellStart"/>
                          <w:r w:rsidRPr="00C353D2">
                            <w:rPr>
                              <w:rFonts w:cs="Calibri"/>
                              <w:bCs/>
                              <w:sz w:val="18"/>
                              <w:szCs w:val="18"/>
                            </w:rPr>
                            <w:t>Ehrenfeld</w:t>
                          </w:r>
                          <w:proofErr w:type="spellEnd"/>
                          <w:r w:rsidRPr="00C353D2">
                            <w:rPr>
                              <w:rFonts w:cs="Calibri"/>
                              <w:bCs/>
                              <w:smallCaps/>
                              <w:sz w:val="18"/>
                              <w:szCs w:val="18"/>
                            </w:rPr>
                            <w:t xml:space="preserve"> 2000/2004</w:t>
                          </w:r>
                        </w:p>
                        <w:p w:rsidR="006B1C99" w:rsidRPr="00C353D2" w:rsidRDefault="006B1C99" w:rsidP="006B1C99">
                          <w:pPr>
                            <w:spacing w:after="0" w:line="240" w:lineRule="auto"/>
                            <w:jc w:val="center"/>
                            <w:rPr>
                              <w:rFonts w:cs="Calibri"/>
                              <w:bCs/>
                              <w:sz w:val="18"/>
                              <w:szCs w:val="18"/>
                            </w:rPr>
                          </w:pPr>
                          <w:r w:rsidRPr="00C353D2">
                            <w:rPr>
                              <w:rFonts w:cs="Calibri"/>
                              <w:bCs/>
                              <w:sz w:val="18"/>
                              <w:szCs w:val="18"/>
                            </w:rPr>
                            <w:t>Hoffman 2003</w:t>
                          </w:r>
                        </w:p>
                        <w:p w:rsidR="006B1C99" w:rsidRPr="00C353D2" w:rsidRDefault="006B1C99" w:rsidP="006B1C99">
                          <w:pPr>
                            <w:spacing w:after="0" w:line="240" w:lineRule="auto"/>
                            <w:jc w:val="center"/>
                            <w:rPr>
                              <w:rFonts w:cs="Calibri"/>
                              <w:sz w:val="18"/>
                              <w:szCs w:val="18"/>
                            </w:rPr>
                          </w:pPr>
                          <w:r w:rsidRPr="00C353D2">
                            <w:rPr>
                              <w:rFonts w:cs="Calibri"/>
                              <w:bCs/>
                              <w:sz w:val="18"/>
                              <w:szCs w:val="18"/>
                            </w:rPr>
                            <w:t xml:space="preserve">Cohen </w:t>
                          </w:r>
                          <w:proofErr w:type="spellStart"/>
                          <w:r w:rsidRPr="00C353D2">
                            <w:rPr>
                              <w:rFonts w:cs="Calibri"/>
                              <w:bCs/>
                              <w:sz w:val="18"/>
                              <w:szCs w:val="18"/>
                            </w:rPr>
                            <w:t>Rosenthal</w:t>
                          </w:r>
                          <w:proofErr w:type="spellEnd"/>
                          <w:r w:rsidRPr="00C353D2">
                            <w:rPr>
                              <w:rFonts w:cs="Calibri"/>
                              <w:bCs/>
                              <w:sz w:val="18"/>
                              <w:szCs w:val="18"/>
                            </w:rPr>
                            <w:t xml:space="preserve"> 2000</w:t>
                          </w:r>
                        </w:p>
                      </w:txbxContent>
                    </v:textbox>
                  </v:roundrect>
                  <v:roundrect id="Rectangle à coins arrondis 5" o:spid="_x0000_s1032" style="position:absolute;left:2698;top:27349;width:22101;height:77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lMuMAA&#10;AADaAAAADwAAAGRycy9kb3ducmV2LnhtbESPS4vCMBSF94L/IVzBnaaK+KhGEQdlUDdWcX1prm2x&#10;uSlNRuu/nwiCy8N5fJzFqjGleFDtCssKBv0IBHFqdcGZgst525uCcB5ZY2mZFLzIwWrZbi0w1vbJ&#10;J3okPhNhhF2MCnLvq1hKl+Zk0PVtRRy8m60N+iDrTOoan2HclHIYRWNpsOBAyLGiTU7pPfkzAYKH&#10;7WW3nwzcz/q4k+Y2MtfZSKlup1nPQXhq/Df8af9qBWN4Xwk3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lMuMAAAADaAAAADwAAAAAAAAAAAAAAAACYAgAAZHJzL2Rvd25y&#10;ZXYueG1sUEsFBgAAAAAEAAQA9QAAAIUDAAAAAA==&#10;" strokeweight="2pt">
                    <v:textbox>
                      <w:txbxContent>
                        <w:p w:rsidR="006B1C99" w:rsidRPr="00C353D2" w:rsidRDefault="006B1C99" w:rsidP="006B1C99">
                          <w:pPr>
                            <w:pStyle w:val="NormalWeb"/>
                            <w:spacing w:after="0"/>
                            <w:jc w:val="center"/>
                            <w:rPr>
                              <w:rFonts w:ascii="Calibri" w:eastAsia="Calibri" w:hAnsi="Calibri" w:cs="Calibri"/>
                              <w:bCs/>
                              <w:sz w:val="18"/>
                              <w:szCs w:val="18"/>
                              <w:u w:val="single"/>
                            </w:rPr>
                          </w:pPr>
                          <w:r w:rsidRPr="00C353D2">
                            <w:rPr>
                              <w:rFonts w:ascii="Calibri" w:eastAsia="Calibri" w:hAnsi="Calibri" w:cs="Calibri"/>
                              <w:bCs/>
                              <w:sz w:val="18"/>
                              <w:szCs w:val="18"/>
                              <w:u w:val="single"/>
                            </w:rPr>
                            <w:t>Une approche libérale</w:t>
                          </w:r>
                          <w:r w:rsidR="004C25E4">
                            <w:rPr>
                              <w:rFonts w:ascii="Calibri" w:eastAsia="Calibri" w:hAnsi="Calibri" w:cs="Calibri"/>
                              <w:bCs/>
                              <w:sz w:val="18"/>
                              <w:szCs w:val="18"/>
                              <w:u w:val="single"/>
                            </w:rPr>
                            <w:t xml:space="preserve"> de l’EI</w:t>
                          </w:r>
                        </w:p>
                        <w:p w:rsidR="006B1C99" w:rsidRPr="00C353D2" w:rsidRDefault="006B1C99" w:rsidP="006B1C99">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Allenby 1999a/1999b</w:t>
                          </w:r>
                        </w:p>
                        <w:p w:rsidR="006B1C99" w:rsidRPr="00C353D2" w:rsidRDefault="006B1C99" w:rsidP="006B1C99">
                          <w:pPr>
                            <w:pStyle w:val="NormalWeb"/>
                            <w:spacing w:after="0"/>
                            <w:jc w:val="center"/>
                            <w:rPr>
                              <w:rFonts w:ascii="Calibri" w:eastAsia="Calibri" w:hAnsi="Calibri" w:cs="Calibri"/>
                              <w:bCs/>
                              <w:sz w:val="18"/>
                              <w:szCs w:val="18"/>
                            </w:rPr>
                          </w:pPr>
                          <w:r w:rsidRPr="00C353D2">
                            <w:rPr>
                              <w:rFonts w:ascii="Calibri" w:eastAsia="Calibri" w:hAnsi="Calibri" w:cs="Calibri"/>
                              <w:bCs/>
                              <w:sz w:val="18"/>
                              <w:szCs w:val="18"/>
                            </w:rPr>
                            <w:t>Lombardi/</w:t>
                          </w:r>
                          <w:proofErr w:type="spellStart"/>
                          <w:r w:rsidRPr="00C353D2">
                            <w:rPr>
                              <w:rFonts w:ascii="Calibri" w:eastAsia="Calibri" w:hAnsi="Calibri" w:cs="Calibri"/>
                              <w:bCs/>
                              <w:sz w:val="18"/>
                              <w:szCs w:val="18"/>
                            </w:rPr>
                            <w:t>Laybourn</w:t>
                          </w:r>
                          <w:proofErr w:type="spellEnd"/>
                          <w:r w:rsidRPr="00C353D2">
                            <w:rPr>
                              <w:rFonts w:ascii="Calibri" w:eastAsia="Calibri" w:hAnsi="Calibri" w:cs="Calibri"/>
                              <w:bCs/>
                              <w:sz w:val="18"/>
                              <w:szCs w:val="18"/>
                            </w:rPr>
                            <w:t xml:space="preserve"> 2012</w:t>
                          </w:r>
                        </w:p>
                      </w:txbxContent>
                    </v:textbox>
                  </v:roundrect>
                  <v:shapetype id="_x0000_t32" coordsize="21600,21600" o:spt="32" o:oned="t" path="m,l21600,21600e" filled="f">
                    <v:path arrowok="t" fillok="f" o:connecttype="none"/>
                    <o:lock v:ext="edit" shapetype="t"/>
                  </v:shapetype>
                  <v:shape id="Connecteur droit avec flèche 6" o:spid="_x0000_s1033" type="#_x0000_t32" style="position:absolute;left:13786;top:22740;width:0;height:4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w0f8QAAADaAAAADwAAAGRycy9kb3ducmV2LnhtbESPQWvCQBSE70L/w/IKvUjdmIOW6CpF&#10;tHgSjG3Pj+wzG5p9G7NrjP56VxB6HGbmG2a+7G0tOmp95VjBeJSAIC6crrhU8H3YvH+A8AFZY+2Y&#10;FFzJw3LxMphjpt2F99TloRQRwj5DBSaEJpPSF4Ys+pFriKN3dK3FEGVbSt3iJcJtLdMkmUiLFccF&#10;gw2tDBV/+dkqOJnxbru5rdPTukjLn2H3O8kPX0q9vfafMxCB+vAffra3WsEUHlfiD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PDR/xAAAANoAAAAPAAAAAAAAAAAA&#10;AAAAAKECAABkcnMvZG93bnJldi54bWxQSwUGAAAAAAQABAD5AAAAkgMAAAAA&#10;" strokeweight="4.5pt">
                    <v:stroke dashstyle="longDash" endarrow="open"/>
                  </v:shape>
                  <v:shape id="Connecteur droit avec flèche 7" o:spid="_x0000_s1034" type="#_x0000_t32" style="position:absolute;left:43492;top:22740;width:0;height:4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g3gL4AAADaAAAADwAAAGRycy9kb3ducmV2LnhtbERPy4rCMBTdC/5DuII7TXXho2MU0SlU&#10;cONrf2nuNJ1pbkqTqZ2/nywEl4fz3ux6W4uOWl85VjCbJiCIC6crLhXcb9lkBcIHZI21Y1LwRx52&#10;2+Fgg6l2T75Qdw2liCHsU1RgQmhSKX1hyKKfuoY4cl+utRgibEupW3zGcFvLeZIspMWKY4PBhg6G&#10;ip/rr1WQL03ZHfFsvvP96tS79SNLPjOlxqN+/wEiUB/e4pc71wri1ngl3gC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ODeAvgAAANoAAAAPAAAAAAAAAAAAAAAAAKEC&#10;AABkcnMvZG93bnJldi54bWxQSwUGAAAAAAQABAD5AAAAjAMAAAAA&#10;" strokeweight="4.5pt">
                    <v:stroke endarrow="open"/>
                  </v:shape>
                  <v:shape id="Connecteur droit avec flèche 8" o:spid="_x0000_s1035" type="#_x0000_t32" style="position:absolute;left:27908;top:15304;width:12;height:39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OgcQAAADaAAAADwAAAGRycy9kb3ducmV2LnhtbESPQWsCMRSE70L/Q3gFb5ptEbFb47JV&#10;BA8WrS2lx8fmdbN087IkUdd/3wiCx2FmvmHmRW9bcSIfGscKnsYZCOLK6YZrBV+f69EMRIjIGlvH&#10;pOBCAYrFw2COuXZn/qDTIdYiQTjkqMDE2OVShsqQxTB2HXHyfp23GJP0tdQezwluW/mcZVNpseG0&#10;YLCjpaHq73C0ClZLs3uvd2++n20n6L/DT7nfb5QaPvblK4hIfbyHb+2NVvAC1yvpBs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sE6BxAAAANoAAAAPAAAAAAAAAAAA&#10;AAAAAKECAABkcnMvZG93bnJldi54bWxQSwUGAAAAAAQABAD5AAAAkgMAAAAA&#10;" strokeweight="4.5pt">
                    <v:stroke endarrow="open"/>
                  </v:shape>
                </v:group>
                <w10:anchorlock/>
              </v:group>
            </w:pict>
          </mc:Fallback>
        </mc:AlternateContent>
      </w:r>
    </w:p>
    <w:p w:rsidR="00DF528A" w:rsidRDefault="00DF528A">
      <w:pPr>
        <w:jc w:val="both"/>
        <w:rPr>
          <w:sz w:val="20"/>
          <w:szCs w:val="20"/>
        </w:rPr>
      </w:pPr>
      <w:r>
        <w:rPr>
          <w:sz w:val="20"/>
          <w:szCs w:val="20"/>
          <w:u w:val="single"/>
        </w:rPr>
        <w:t>Source :</w:t>
      </w:r>
      <w:r w:rsidR="004C25E4" w:rsidRPr="004C25E4">
        <w:rPr>
          <w:sz w:val="20"/>
          <w:szCs w:val="20"/>
        </w:rPr>
        <w:t xml:space="preserve"> </w:t>
      </w:r>
      <w:r w:rsidR="004C25E4">
        <w:rPr>
          <w:sz w:val="20"/>
          <w:szCs w:val="20"/>
        </w:rPr>
        <w:t>D’après</w:t>
      </w:r>
      <w:r>
        <w:rPr>
          <w:sz w:val="20"/>
          <w:szCs w:val="20"/>
        </w:rPr>
        <w:t xml:space="preserve"> </w:t>
      </w:r>
      <w:proofErr w:type="spellStart"/>
      <w:r>
        <w:rPr>
          <w:sz w:val="20"/>
          <w:szCs w:val="20"/>
        </w:rPr>
        <w:t>Metereau</w:t>
      </w:r>
      <w:proofErr w:type="spellEnd"/>
      <w:r>
        <w:rPr>
          <w:sz w:val="20"/>
          <w:szCs w:val="20"/>
        </w:rPr>
        <w:t xml:space="preserve"> et Figuière</w:t>
      </w:r>
      <w:proofErr w:type="gramStart"/>
      <w:r>
        <w:rPr>
          <w:sz w:val="20"/>
          <w:szCs w:val="20"/>
        </w:rPr>
        <w:t>,2014</w:t>
      </w:r>
      <w:proofErr w:type="gramEnd"/>
    </w:p>
    <w:p w:rsidR="00BB239C" w:rsidRPr="0008269C" w:rsidRDefault="00BB239C">
      <w:pPr>
        <w:jc w:val="both"/>
      </w:pPr>
      <w:r w:rsidRPr="00BB239C">
        <w:t xml:space="preserve">Les travaux portés par </w:t>
      </w:r>
      <w:r w:rsidR="000F2031">
        <w:t xml:space="preserve"> Nicolas </w:t>
      </w:r>
      <w:proofErr w:type="spellStart"/>
      <w:r w:rsidRPr="00BB239C">
        <w:t>Buclet</w:t>
      </w:r>
      <w:proofErr w:type="spellEnd"/>
      <w:r w:rsidRPr="00BB239C">
        <w:t xml:space="preserve"> s’inscrivent dans une perspective </w:t>
      </w:r>
      <w:r w:rsidR="002F43A6">
        <w:t>d’économie politique de l’EI,</w:t>
      </w:r>
      <w:r w:rsidRPr="00BB239C">
        <w:t xml:space="preserve"> mais ils insistent </w:t>
      </w:r>
      <w:r w:rsidR="00F45DDA" w:rsidRPr="00BB239C">
        <w:t>explicitement</w:t>
      </w:r>
      <w:r w:rsidRPr="00BB239C">
        <w:t xml:space="preserve"> sur l’importance de l’ancrage territorial dans les DEI. Ce qui conduit à parler de D</w:t>
      </w:r>
      <w:r w:rsidR="00F45DDA">
        <w:t>émarche d’</w:t>
      </w:r>
      <w:r w:rsidRPr="00BB239C">
        <w:t>E</w:t>
      </w:r>
      <w:r w:rsidR="00F45DDA">
        <w:t xml:space="preserve">cologie </w:t>
      </w:r>
      <w:r w:rsidRPr="00BB239C">
        <w:t>I</w:t>
      </w:r>
      <w:r w:rsidR="00F45DDA">
        <w:t xml:space="preserve">ndustrielle </w:t>
      </w:r>
      <w:r w:rsidRPr="00BB239C">
        <w:t>T</w:t>
      </w:r>
      <w:r w:rsidR="00F45DDA">
        <w:t>erritoriale (DEIT)</w:t>
      </w:r>
      <w:r>
        <w:t>.</w:t>
      </w:r>
      <w:r w:rsidR="0008269C">
        <w:t xml:space="preserve"> Selon lui l’EIT ne doit pas être fondé sur l’utopie de bouclage intégral des flux mais</w:t>
      </w:r>
      <w:r w:rsidR="002F43A6">
        <w:t xml:space="preserve"> </w:t>
      </w:r>
      <w:r w:rsidR="0008269C">
        <w:t>:  « </w:t>
      </w:r>
      <w:r w:rsidR="0008269C">
        <w:rPr>
          <w:i/>
        </w:rPr>
        <w:t>à partir de l’hypothèse raisonnable d’une gestion des flux de matière ayant pour priorité leur capacité ultime à se dissiper dans le restant de la biosphère sous une forme no</w:t>
      </w:r>
      <w:bookmarkStart w:id="0" w:name="_GoBack"/>
      <w:bookmarkEnd w:id="0"/>
      <w:r w:rsidR="0008269C">
        <w:rPr>
          <w:i/>
        </w:rPr>
        <w:t xml:space="preserve">n polluante, tout en assurant la </w:t>
      </w:r>
      <w:proofErr w:type="spellStart"/>
      <w:r w:rsidR="0008269C">
        <w:rPr>
          <w:i/>
        </w:rPr>
        <w:t>renouvelabilité</w:t>
      </w:r>
      <w:proofErr w:type="spellEnd"/>
      <w:r w:rsidR="0008269C">
        <w:rPr>
          <w:i/>
        </w:rPr>
        <w:t xml:space="preserve"> des ressources nécessaires. »</w:t>
      </w:r>
      <w:r w:rsidR="009A2D28" w:rsidRPr="000A2363">
        <w:t>(</w:t>
      </w:r>
      <w:proofErr w:type="spellStart"/>
      <w:r w:rsidR="009A2D28" w:rsidRPr="000A2363">
        <w:t>Buclet</w:t>
      </w:r>
      <w:proofErr w:type="spellEnd"/>
      <w:r w:rsidR="00F46782" w:rsidRPr="000A2363">
        <w:t>, 2013, p166</w:t>
      </w:r>
      <w:r w:rsidR="000A2363" w:rsidRPr="000A2363">
        <w:t>)</w:t>
      </w:r>
      <w:r w:rsidR="0008269C" w:rsidRPr="000A2363">
        <w:t>.</w:t>
      </w:r>
      <w:r w:rsidR="0008269C">
        <w:t xml:space="preserve"> Cette définition permet de remettre l’homme au centre du processus dans un souci de cohérence territorial fondé </w:t>
      </w:r>
      <w:r w:rsidR="0008269C">
        <w:lastRenderedPageBreak/>
        <w:t>sur l’équilibre entre ressources disponibles et besoins exprimés</w:t>
      </w:r>
      <w:r w:rsidR="002F43A6">
        <w:t xml:space="preserve"> dans un contexte d’économie de la rareté</w:t>
      </w:r>
      <w:r w:rsidR="0008269C">
        <w:t>.</w:t>
      </w:r>
    </w:p>
    <w:p w:rsidR="00DF528A" w:rsidRDefault="00DF528A" w:rsidP="006B1C99">
      <w:pPr>
        <w:spacing w:after="0"/>
        <w:jc w:val="both"/>
      </w:pPr>
      <w:r w:rsidRPr="00FF2B6B">
        <w:rPr>
          <w:b/>
        </w:rPr>
        <w:t xml:space="preserve">L’objet de ce mémoire </w:t>
      </w:r>
      <w:r>
        <w:t xml:space="preserve">portera sur les </w:t>
      </w:r>
      <w:r w:rsidR="00F45DDA">
        <w:t>DEIT</w:t>
      </w:r>
      <w:r>
        <w:t xml:space="preserve"> en Rhône-Alpes</w:t>
      </w:r>
      <w:r w:rsidR="009416BB">
        <w:t xml:space="preserve"> (RA)</w:t>
      </w:r>
      <w:r>
        <w:t xml:space="preserve">. </w:t>
      </w:r>
    </w:p>
    <w:p w:rsidR="00DF528A" w:rsidRDefault="00DF528A" w:rsidP="006B1C99">
      <w:pPr>
        <w:spacing w:after="0"/>
        <w:jc w:val="both"/>
      </w:pPr>
      <w:r>
        <w:t xml:space="preserve"> La région </w:t>
      </w:r>
      <w:r w:rsidR="009416BB">
        <w:t>RA</w:t>
      </w:r>
      <w:r>
        <w:t xml:space="preserve"> compte de nombreuses</w:t>
      </w:r>
      <w:r w:rsidR="00F45DDA">
        <w:t xml:space="preserve"> D</w:t>
      </w:r>
      <w:r>
        <w:t>EI</w:t>
      </w:r>
      <w:r w:rsidR="00BB239C">
        <w:t>T</w:t>
      </w:r>
      <w:r>
        <w:t xml:space="preserve"> sur son territoire : la démarche du pays d’Evian (Haute-Savoie), celle de la zone industrielle et portuaire du </w:t>
      </w:r>
      <w:proofErr w:type="spellStart"/>
      <w:r>
        <w:t>Pouzin</w:t>
      </w:r>
      <w:proofErr w:type="spellEnd"/>
      <w:r>
        <w:t xml:space="preserve"> (Isère),  ou encore celle débutée sur la zone industrielle de Meyzieu à travers l’association d’entrepreneurs AIRM (Rhône)… à des stades de développement différents. Ce travail s’attardera notamment sur le portage institutionnel de telles démarches. En effet l’hypothèse est faite ici que la réussite de la mise en place d’une DEI</w:t>
      </w:r>
      <w:r w:rsidR="00F45DDA">
        <w:t>T</w:t>
      </w:r>
      <w:r>
        <w:t xml:space="preserve"> et son inscription dans le temps passe par l’établissement de coopérations entre les différents acteurs de la démarche et un portage institutionnel de la part des collectivités territoriales.</w:t>
      </w:r>
    </w:p>
    <w:p w:rsidR="004C25E4" w:rsidRDefault="004C25E4" w:rsidP="006B1C99">
      <w:pPr>
        <w:spacing w:after="0"/>
        <w:jc w:val="both"/>
      </w:pPr>
    </w:p>
    <w:p w:rsidR="004C25E4" w:rsidRPr="004C25E4" w:rsidRDefault="004C25E4" w:rsidP="006B1C99">
      <w:pPr>
        <w:spacing w:after="0"/>
        <w:jc w:val="both"/>
        <w:rPr>
          <w:b/>
        </w:rPr>
      </w:pPr>
      <w:r w:rsidRPr="004C25E4">
        <w:rPr>
          <w:b/>
        </w:rPr>
        <w:t>Question de recherche :</w:t>
      </w:r>
    </w:p>
    <w:p w:rsidR="004C25E4" w:rsidRDefault="00DF528A" w:rsidP="006B1C99">
      <w:pPr>
        <w:spacing w:after="0"/>
        <w:jc w:val="both"/>
      </w:pPr>
      <w:r>
        <w:t>Il convient donc de s’interroger sur</w:t>
      </w:r>
      <w:r w:rsidR="00FF2B6B">
        <w:t xml:space="preserve"> le rôle que jouent les institutions (collectivités territoriales notamment…) dans le lancement puis la pérennisation d’une DEI</w:t>
      </w:r>
      <w:r w:rsidR="009416BB">
        <w:t>T</w:t>
      </w:r>
      <w:r w:rsidR="00FF2B6B">
        <w:t>.</w:t>
      </w:r>
    </w:p>
    <w:p w:rsidR="00DF528A" w:rsidRDefault="00F45DDA" w:rsidP="006B1C99">
      <w:pPr>
        <w:spacing w:after="0"/>
        <w:jc w:val="both"/>
      </w:pPr>
      <w:r>
        <w:t xml:space="preserve"> C</w:t>
      </w:r>
      <w:r w:rsidR="009416BB">
        <w:t>omment doit se mettre en place</w:t>
      </w:r>
      <w:r w:rsidR="00DF528A" w:rsidRPr="006B1C99">
        <w:t xml:space="preserve"> une</w:t>
      </w:r>
      <w:r w:rsidR="00DF528A">
        <w:t xml:space="preserve"> coopération permettant l’établissement </w:t>
      </w:r>
      <w:r>
        <w:t>d’une D</w:t>
      </w:r>
      <w:r w:rsidR="00DF528A">
        <w:t xml:space="preserve">EIT et quel rôle peuvent y jouer les institutions territoriales ?  </w:t>
      </w:r>
    </w:p>
    <w:p w:rsidR="00DF528A" w:rsidRDefault="00DF528A" w:rsidP="006B1C99">
      <w:pPr>
        <w:spacing w:after="0"/>
        <w:jc w:val="both"/>
      </w:pPr>
      <w:r>
        <w:t xml:space="preserve">Pour cela l’expérience effectuée au sein du bassin dunkerquois sera </w:t>
      </w:r>
      <w:r w:rsidRPr="006B1C99">
        <w:t xml:space="preserve">mobilisée </w:t>
      </w:r>
      <w:r>
        <w:t xml:space="preserve">comme référence. En effet la </w:t>
      </w:r>
      <w:r w:rsidRPr="006B1C99">
        <w:t>DEI réalisée au sein de</w:t>
      </w:r>
      <w:r>
        <w:t xml:space="preserve"> ce territoire peut à l’heure d’aujourd’hui être </w:t>
      </w:r>
      <w:r w:rsidRPr="006B1C99">
        <w:t>considérée c</w:t>
      </w:r>
      <w:r>
        <w:t>omme une démarche pérenne du fait de son efficacité et de sa longévité dans le temps (13 ans). L’analyse de cette démarche permettra d’identifier des critères de réussites à la mise en place de</w:t>
      </w:r>
      <w:r w:rsidR="00F45DDA">
        <w:t xml:space="preserve"> D</w:t>
      </w:r>
      <w:r>
        <w:t xml:space="preserve">EIT. Il conviendra ensuite d’utiliser les critères précédemment </w:t>
      </w:r>
      <w:r w:rsidRPr="006B1C99">
        <w:t>dégagés afin</w:t>
      </w:r>
      <w:r>
        <w:t xml:space="preserve"> d’évaluer trois DEIT en Rhône-Alpes : la démarche dans la zone industrielle de Meyzieu, celle du pays d’Evian et enfin celle de la zone industrielle et portuaire du </w:t>
      </w:r>
      <w:proofErr w:type="spellStart"/>
      <w:r>
        <w:t>Pouzin</w:t>
      </w:r>
      <w:proofErr w:type="spellEnd"/>
      <w:r>
        <w:t xml:space="preserve">.  </w:t>
      </w:r>
    </w:p>
    <w:p w:rsidR="004C25E4" w:rsidRDefault="004C25E4" w:rsidP="006B1C99">
      <w:pPr>
        <w:spacing w:after="0"/>
        <w:jc w:val="both"/>
      </w:pPr>
    </w:p>
    <w:p w:rsidR="004C25E4" w:rsidRDefault="004C25E4" w:rsidP="006B1C99">
      <w:pPr>
        <w:spacing w:after="0"/>
        <w:jc w:val="both"/>
      </w:pPr>
      <w:r w:rsidRPr="004C25E4">
        <w:t xml:space="preserve"> Ce travail adoptera</w:t>
      </w:r>
      <w:r>
        <w:rPr>
          <w:b/>
        </w:rPr>
        <w:t xml:space="preserve"> une démarche </w:t>
      </w:r>
      <w:r w:rsidRPr="004C25E4">
        <w:t>hypothético-déductive.</w:t>
      </w:r>
      <w:r>
        <w:rPr>
          <w:b/>
        </w:rPr>
        <w:t xml:space="preserve"> </w:t>
      </w:r>
      <w:r w:rsidRPr="004C25E4">
        <w:t>En effet, si la question de recherche a été élaboré dans le cadre du corpus théorique de l’EIT, la confrontation avec des cas concrets s’avère indispensable afin d’affiner le questionnement initial</w:t>
      </w:r>
      <w:r>
        <w:t>.</w:t>
      </w:r>
    </w:p>
    <w:p w:rsidR="004C25E4" w:rsidRDefault="004C25E4" w:rsidP="006B1C99">
      <w:pPr>
        <w:spacing w:after="0"/>
        <w:jc w:val="both"/>
      </w:pPr>
      <w:r>
        <w:t xml:space="preserve"> </w:t>
      </w:r>
    </w:p>
    <w:p w:rsidR="00FF2B6B" w:rsidRPr="00FF2B6B" w:rsidRDefault="00FF2B6B" w:rsidP="006B1C99">
      <w:pPr>
        <w:spacing w:after="0"/>
        <w:jc w:val="both"/>
        <w:rPr>
          <w:b/>
        </w:rPr>
      </w:pPr>
      <w:r w:rsidRPr="00FF2B6B">
        <w:rPr>
          <w:b/>
        </w:rPr>
        <w:t>Projet de plan :</w:t>
      </w:r>
    </w:p>
    <w:p w:rsidR="00FF2B6B" w:rsidRDefault="006B1C99" w:rsidP="006B1C99">
      <w:pPr>
        <w:spacing w:after="0"/>
        <w:jc w:val="both"/>
      </w:pPr>
      <w:r>
        <w:t xml:space="preserve">Un premier chapitre </w:t>
      </w:r>
      <w:r w:rsidR="00FF2B6B">
        <w:t xml:space="preserve">pourrait faire </w:t>
      </w:r>
      <w:r w:rsidR="00DF528A" w:rsidRPr="006B1C99">
        <w:t xml:space="preserve"> une revue de la littérature sur le thème de l’EIT,</w:t>
      </w:r>
      <w:r w:rsidR="00DF528A">
        <w:t xml:space="preserve"> en revena</w:t>
      </w:r>
      <w:r w:rsidR="00FF2B6B">
        <w:t xml:space="preserve">nt sur ces principes de bases, </w:t>
      </w:r>
      <w:r w:rsidR="00DF528A">
        <w:t xml:space="preserve">notamment </w:t>
      </w:r>
      <w:r w:rsidR="00FF2B6B">
        <w:t>celui de</w:t>
      </w:r>
      <w:r w:rsidR="00DF528A">
        <w:t xml:space="preserve"> métabolisme territorial. </w:t>
      </w:r>
    </w:p>
    <w:p w:rsidR="00FF2B6B" w:rsidRDefault="00FF2B6B" w:rsidP="006B1C99">
      <w:pPr>
        <w:spacing w:after="0"/>
        <w:jc w:val="both"/>
      </w:pPr>
      <w:r>
        <w:lastRenderedPageBreak/>
        <w:t xml:space="preserve"> Un </w:t>
      </w:r>
      <w:r w:rsidR="00DF528A">
        <w:t xml:space="preserve">second chapitre </w:t>
      </w:r>
      <w:r>
        <w:t>visera à tester l’hypothèse de recherche. Les DEI</w:t>
      </w:r>
      <w:r w:rsidR="009416BB">
        <w:t>T</w:t>
      </w:r>
      <w:r>
        <w:t xml:space="preserve"> de la région </w:t>
      </w:r>
      <w:r w:rsidR="009416BB">
        <w:t>RA</w:t>
      </w:r>
      <w:r>
        <w:t xml:space="preserve"> étant souvent encore à un stade embryonnaire ou à l’Etat de projet, il conviendra d’analyser des DEI déjà stabilisées pour proposer une grille de lecture. </w:t>
      </w:r>
    </w:p>
    <w:p w:rsidR="00FF2B6B" w:rsidRDefault="00FF2B6B" w:rsidP="006B1C99">
      <w:pPr>
        <w:spacing w:after="0"/>
        <w:jc w:val="both"/>
      </w:pPr>
    </w:p>
    <w:p w:rsidR="00DF528A" w:rsidRDefault="00FF2B6B" w:rsidP="00FF2B6B">
      <w:pPr>
        <w:spacing w:after="0"/>
        <w:jc w:val="both"/>
      </w:pPr>
      <w:r>
        <w:t xml:space="preserve">L’un des résultats attendu de ce mémoire et d’affiner la question de recherche de la thèse en projet. </w:t>
      </w:r>
    </w:p>
    <w:p w:rsidR="00586E3A" w:rsidRDefault="00586E3A" w:rsidP="00FF2B6B">
      <w:pPr>
        <w:spacing w:after="0"/>
        <w:jc w:val="both"/>
      </w:pPr>
      <w:r>
        <w:t xml:space="preserve">Une demande d’allocation ARC8 sur ce thème a été déposée début janvier 2014. Le projet vise à l’élaboration d’une base de données des DEIT en RA. Des entretiens ont déjà été réalisés et un stage pratique est en cours de finalisation pour le printemps 2014 (Analyse de métabolisme industriel). Un stage de recherche est envisagé </w:t>
      </w:r>
      <w:r w:rsidR="003F3045">
        <w:t>(Contact</w:t>
      </w:r>
      <w:r>
        <w:t xml:space="preserve"> pris) à l’université de Lausanne dans le laboratoire de </w:t>
      </w:r>
      <w:proofErr w:type="spellStart"/>
      <w:r w:rsidR="003F3045">
        <w:t>Suren</w:t>
      </w:r>
      <w:proofErr w:type="spellEnd"/>
      <w:r w:rsidR="003F3045">
        <w:t xml:space="preserve"> </w:t>
      </w:r>
      <w:proofErr w:type="spellStart"/>
      <w:r w:rsidR="003F3045">
        <w:t>Erkman</w:t>
      </w:r>
      <w:proofErr w:type="spellEnd"/>
      <w:r w:rsidR="003F3045">
        <w:t xml:space="preserve">. </w:t>
      </w:r>
    </w:p>
    <w:p w:rsidR="0043326C" w:rsidRDefault="0043326C">
      <w:pPr>
        <w:pStyle w:val="Titre1"/>
        <w:rPr>
          <w:b/>
        </w:rPr>
      </w:pPr>
      <w:r w:rsidRPr="0043326C">
        <w:rPr>
          <w:b/>
        </w:rPr>
        <w:t>Travaux cités</w:t>
      </w:r>
    </w:p>
    <w:p w:rsidR="0043326C" w:rsidRPr="0043326C" w:rsidRDefault="0043326C" w:rsidP="0043326C">
      <w:pPr>
        <w:rPr>
          <w:lang w:eastAsia="fr-FR"/>
        </w:rPr>
      </w:pPr>
    </w:p>
    <w:p w:rsidR="0043326C" w:rsidRDefault="0043326C" w:rsidP="0043326C">
      <w:pPr>
        <w:pStyle w:val="Bibliographie"/>
        <w:ind w:left="720" w:hanging="720"/>
        <w:rPr>
          <w:noProof/>
        </w:rPr>
      </w:pPr>
      <w:r w:rsidRPr="0043326C">
        <w:rPr>
          <w:b/>
          <w:noProof/>
        </w:rPr>
        <w:t>Adoue, C.</w:t>
      </w:r>
      <w:r>
        <w:rPr>
          <w:noProof/>
        </w:rPr>
        <w:t xml:space="preserve"> (2007). </w:t>
      </w:r>
      <w:r>
        <w:rPr>
          <w:i/>
          <w:iCs/>
          <w:noProof/>
        </w:rPr>
        <w:t>Mettre en oeuvre l'écologie industrielle.</w:t>
      </w:r>
      <w:r>
        <w:rPr>
          <w:noProof/>
        </w:rPr>
        <w:t xml:space="preserve"> Presses Polytechniques et Universitaires Romandes,104p.</w:t>
      </w:r>
    </w:p>
    <w:p w:rsidR="0043326C" w:rsidRDefault="0043326C" w:rsidP="0043326C">
      <w:pPr>
        <w:pStyle w:val="Bibliographie"/>
        <w:ind w:left="720" w:hanging="720"/>
        <w:rPr>
          <w:noProof/>
        </w:rPr>
      </w:pPr>
      <w:r w:rsidRPr="0043326C">
        <w:rPr>
          <w:b/>
          <w:noProof/>
        </w:rPr>
        <w:t>Beaurain, C., &amp; Brullot, S.</w:t>
      </w:r>
      <w:r>
        <w:rPr>
          <w:noProof/>
        </w:rPr>
        <w:t xml:space="preserve"> (2011). L'écologie industrielle comme processus de développement territorial: une lecture par la proximité. </w:t>
      </w:r>
      <w:r>
        <w:rPr>
          <w:i/>
          <w:iCs/>
          <w:noProof/>
        </w:rPr>
        <w:t>Revue d'économie régionale et urbaine</w:t>
      </w:r>
      <w:r>
        <w:rPr>
          <w:noProof/>
        </w:rPr>
        <w:t>, 313-340.</w:t>
      </w:r>
    </w:p>
    <w:p w:rsidR="0043326C" w:rsidRDefault="0043326C" w:rsidP="0043326C">
      <w:pPr>
        <w:pStyle w:val="Bibliographie"/>
        <w:ind w:left="720" w:hanging="720"/>
        <w:rPr>
          <w:noProof/>
        </w:rPr>
      </w:pPr>
      <w:r w:rsidRPr="0043326C">
        <w:rPr>
          <w:b/>
          <w:noProof/>
        </w:rPr>
        <w:t>Buclet, N.</w:t>
      </w:r>
      <w:r>
        <w:rPr>
          <w:noProof/>
        </w:rPr>
        <w:t xml:space="preserve"> (2011). </w:t>
      </w:r>
      <w:r>
        <w:rPr>
          <w:i/>
          <w:iCs/>
          <w:noProof/>
        </w:rPr>
        <w:t>L'écologie industrielle et territoriale, stratégies locales pour un développement durable.</w:t>
      </w:r>
      <w:r>
        <w:rPr>
          <w:noProof/>
        </w:rPr>
        <w:t xml:space="preserve"> Presse du Septentrion,309p.</w:t>
      </w:r>
    </w:p>
    <w:p w:rsidR="00A30A2D" w:rsidRPr="00DF7B7E" w:rsidRDefault="00A30A2D" w:rsidP="00DF7B7E">
      <w:pPr>
        <w:ind w:left="708" w:hanging="708"/>
      </w:pPr>
      <w:r>
        <w:rPr>
          <w:b/>
          <w:noProof/>
        </w:rPr>
        <w:t>Buclet,N.</w:t>
      </w:r>
      <w:r>
        <w:t xml:space="preserve"> (2013). </w:t>
      </w:r>
      <w:r w:rsidRPr="00DF7B7E">
        <w:t>L</w:t>
      </w:r>
      <w:r w:rsidR="00DF7B7E" w:rsidRPr="00DF7B7E">
        <w:t>’écologie industrielle et territoriale : vers une économie de la rareté</w:t>
      </w:r>
      <w:r w:rsidR="00DF7B7E">
        <w:rPr>
          <w:i/>
        </w:rPr>
        <w:t xml:space="preserve">. </w:t>
      </w:r>
      <w:r w:rsidR="00DF7B7E">
        <w:t xml:space="preserve">Dans Vivien F-D., </w:t>
      </w:r>
      <w:proofErr w:type="spellStart"/>
      <w:r w:rsidR="00DF7B7E">
        <w:t>Lepart</w:t>
      </w:r>
      <w:proofErr w:type="spellEnd"/>
      <w:r w:rsidR="00DF7B7E">
        <w:t xml:space="preserve"> J., Marty P., </w:t>
      </w:r>
      <w:r w:rsidR="00DF7B7E">
        <w:rPr>
          <w:i/>
        </w:rPr>
        <w:t xml:space="preserve">L’évaluation de la durabilité, </w:t>
      </w:r>
      <w:r w:rsidR="00DF7B7E">
        <w:t xml:space="preserve">p153-173, </w:t>
      </w:r>
      <w:proofErr w:type="spellStart"/>
      <w:r w:rsidR="00DF7B7E">
        <w:t>Quae</w:t>
      </w:r>
      <w:proofErr w:type="spellEnd"/>
    </w:p>
    <w:p w:rsidR="0043326C" w:rsidRDefault="0043326C" w:rsidP="0043326C">
      <w:pPr>
        <w:pStyle w:val="Bibliographie"/>
        <w:ind w:left="720" w:hanging="720"/>
        <w:rPr>
          <w:noProof/>
        </w:rPr>
      </w:pPr>
      <w:r w:rsidRPr="0043326C">
        <w:rPr>
          <w:b/>
          <w:noProof/>
        </w:rPr>
        <w:t>Diemer, A.</w:t>
      </w:r>
      <w:r>
        <w:rPr>
          <w:noProof/>
        </w:rPr>
        <w:t xml:space="preserve"> (2012). La technologie au coeur du développement durable: mythe ou réalité. </w:t>
      </w:r>
      <w:r>
        <w:rPr>
          <w:i/>
          <w:iCs/>
          <w:noProof/>
        </w:rPr>
        <w:t>innovations</w:t>
      </w:r>
      <w:r>
        <w:rPr>
          <w:noProof/>
        </w:rPr>
        <w:t>, 73-94.</w:t>
      </w:r>
    </w:p>
    <w:p w:rsidR="0043326C" w:rsidRDefault="0043326C" w:rsidP="0043326C">
      <w:pPr>
        <w:pStyle w:val="Bibliographie"/>
        <w:ind w:left="720" w:hanging="720"/>
        <w:rPr>
          <w:noProof/>
        </w:rPr>
      </w:pPr>
      <w:r w:rsidRPr="0043326C">
        <w:rPr>
          <w:b/>
          <w:noProof/>
        </w:rPr>
        <w:t>Erkman, S.</w:t>
      </w:r>
      <w:r>
        <w:rPr>
          <w:noProof/>
        </w:rPr>
        <w:t xml:space="preserve"> (2001). L'écologie industrielle: une stratégie de développement. </w:t>
      </w:r>
      <w:r>
        <w:rPr>
          <w:i/>
          <w:iCs/>
          <w:noProof/>
        </w:rPr>
        <w:t>Le débat</w:t>
      </w:r>
      <w:r>
        <w:rPr>
          <w:noProof/>
        </w:rPr>
        <w:t>, 106-121.</w:t>
      </w:r>
    </w:p>
    <w:p w:rsidR="0043326C" w:rsidRDefault="0043326C" w:rsidP="0043326C">
      <w:pPr>
        <w:pStyle w:val="Bibliographie"/>
        <w:ind w:left="720" w:hanging="720"/>
        <w:rPr>
          <w:noProof/>
        </w:rPr>
      </w:pPr>
      <w:r w:rsidRPr="0043326C">
        <w:rPr>
          <w:b/>
          <w:noProof/>
        </w:rPr>
        <w:t>Erkmann, S.</w:t>
      </w:r>
      <w:r>
        <w:rPr>
          <w:noProof/>
        </w:rPr>
        <w:t xml:space="preserve"> (2004). </w:t>
      </w:r>
      <w:r>
        <w:rPr>
          <w:i/>
          <w:iCs/>
          <w:noProof/>
        </w:rPr>
        <w:t>Vers une écologie industrielle.</w:t>
      </w:r>
      <w:r>
        <w:rPr>
          <w:noProof/>
        </w:rPr>
        <w:t xml:space="preserve"> Paris: Editions Charles Léopold Mayer, 252p.</w:t>
      </w:r>
    </w:p>
    <w:p w:rsidR="0043326C" w:rsidRDefault="0043326C" w:rsidP="0043326C">
      <w:pPr>
        <w:pStyle w:val="Bibliographie"/>
        <w:ind w:left="720" w:hanging="720"/>
        <w:rPr>
          <w:noProof/>
        </w:rPr>
      </w:pPr>
      <w:r w:rsidRPr="0043326C">
        <w:rPr>
          <w:b/>
          <w:noProof/>
        </w:rPr>
        <w:lastRenderedPageBreak/>
        <w:t>Metereau, R., &amp; Figuière, C.</w:t>
      </w:r>
      <w:r>
        <w:rPr>
          <w:noProof/>
        </w:rPr>
        <w:t xml:space="preserve"> (à paraître en 2014). Au carrefour de l'Ecologie Industrielle et du SYAL, premier jalons pour faire progresser la durabilité d'un développement rural localisé. </w:t>
      </w:r>
      <w:r>
        <w:rPr>
          <w:i/>
          <w:iCs/>
          <w:noProof/>
        </w:rPr>
        <w:t>Développement Durable et Territoire</w:t>
      </w:r>
      <w:r>
        <w:rPr>
          <w:noProof/>
        </w:rPr>
        <w:t>.</w:t>
      </w:r>
    </w:p>
    <w:p w:rsidR="0043326C" w:rsidRDefault="0043326C" w:rsidP="0043326C"/>
    <w:p w:rsidR="0072378A" w:rsidRDefault="0072378A">
      <w:pPr>
        <w:jc w:val="both"/>
        <w:rPr>
          <w:rFonts w:ascii="Calibri Light" w:hAnsi="Calibri Light"/>
          <w:b/>
          <w:color w:val="548DD4" w:themeColor="text2" w:themeTint="99"/>
          <w:sz w:val="32"/>
          <w:szCs w:val="32"/>
        </w:rPr>
      </w:pPr>
    </w:p>
    <w:p w:rsidR="006B1C99" w:rsidRPr="009416BB" w:rsidRDefault="003F3045">
      <w:pPr>
        <w:jc w:val="both"/>
        <w:rPr>
          <w:rFonts w:ascii="Calibri Light" w:hAnsi="Calibri Light"/>
          <w:b/>
          <w:color w:val="548DD4" w:themeColor="text2" w:themeTint="99"/>
          <w:sz w:val="32"/>
          <w:szCs w:val="32"/>
        </w:rPr>
      </w:pPr>
      <w:r w:rsidRPr="009416BB">
        <w:rPr>
          <w:rFonts w:ascii="Calibri Light" w:hAnsi="Calibri Light"/>
          <w:b/>
          <w:color w:val="548DD4" w:themeColor="text2" w:themeTint="99"/>
          <w:sz w:val="32"/>
          <w:szCs w:val="32"/>
        </w:rPr>
        <w:t>Etude déjà réalisée</w:t>
      </w:r>
      <w:r w:rsidR="00FF2B6B" w:rsidRPr="009416BB">
        <w:rPr>
          <w:rFonts w:ascii="Calibri Light" w:hAnsi="Calibri Light"/>
          <w:b/>
          <w:color w:val="548DD4" w:themeColor="text2" w:themeTint="99"/>
          <w:sz w:val="32"/>
          <w:szCs w:val="32"/>
        </w:rPr>
        <w:t> </w:t>
      </w:r>
      <w:r w:rsidRPr="009416BB">
        <w:rPr>
          <w:rFonts w:ascii="Calibri Light" w:hAnsi="Calibri Light"/>
          <w:b/>
          <w:color w:val="548DD4" w:themeColor="text2" w:themeTint="99"/>
          <w:sz w:val="32"/>
          <w:szCs w:val="32"/>
        </w:rPr>
        <w:t xml:space="preserve"> sur le thème de l’EIT</w:t>
      </w:r>
      <w:r w:rsidR="00FF2B6B" w:rsidRPr="009416BB">
        <w:rPr>
          <w:rFonts w:ascii="Calibri Light" w:hAnsi="Calibri Light"/>
          <w:b/>
          <w:color w:val="548DD4" w:themeColor="text2" w:themeTint="99"/>
          <w:sz w:val="32"/>
          <w:szCs w:val="32"/>
        </w:rPr>
        <w:t>:</w:t>
      </w:r>
    </w:p>
    <w:p w:rsidR="00FF2B6B" w:rsidRDefault="00FF2B6B">
      <w:pPr>
        <w:jc w:val="both"/>
      </w:pPr>
      <w:r>
        <w:t>-Mémoire M1</w:t>
      </w:r>
      <w:r w:rsidR="009416BB">
        <w:t xml:space="preserve">,  </w:t>
      </w:r>
      <w:r w:rsidR="009416BB" w:rsidRPr="009416BB">
        <w:rPr>
          <w:i/>
        </w:rPr>
        <w:t>« la réalisation d’une démarche d’écologie industrielle : la durabilité comme « brique de base » du territoire</w:t>
      </w:r>
      <w:r w:rsidR="009416BB">
        <w:rPr>
          <w:i/>
        </w:rPr>
        <w:t> »</w:t>
      </w:r>
      <w:r w:rsidR="009416BB">
        <w:t>,</w:t>
      </w:r>
      <w:r w:rsidR="003F3045">
        <w:t xml:space="preserve"> </w:t>
      </w:r>
      <w:r w:rsidR="009416BB">
        <w:t>70p</w:t>
      </w:r>
    </w:p>
    <w:p w:rsidR="00FF2B6B" w:rsidRDefault="00FF2B6B">
      <w:pPr>
        <w:jc w:val="both"/>
      </w:pPr>
    </w:p>
    <w:p w:rsidR="009416BB" w:rsidRDefault="009416BB">
      <w:pPr>
        <w:jc w:val="both"/>
        <w:rPr>
          <w:rFonts w:ascii="Calibri Light" w:hAnsi="Calibri Light"/>
          <w:b/>
          <w:color w:val="548DD4" w:themeColor="text2" w:themeTint="99"/>
          <w:sz w:val="32"/>
          <w:szCs w:val="32"/>
        </w:rPr>
      </w:pPr>
    </w:p>
    <w:p w:rsidR="00FF2B6B" w:rsidRPr="009416BB" w:rsidRDefault="009416BB">
      <w:pPr>
        <w:jc w:val="both"/>
        <w:rPr>
          <w:rFonts w:ascii="Calibri Light" w:hAnsi="Calibri Light"/>
          <w:b/>
          <w:color w:val="548DD4" w:themeColor="text2" w:themeTint="99"/>
          <w:sz w:val="32"/>
          <w:szCs w:val="32"/>
        </w:rPr>
      </w:pPr>
      <w:r w:rsidRPr="009416BB">
        <w:rPr>
          <w:rFonts w:ascii="Calibri Light" w:hAnsi="Calibri Light"/>
          <w:b/>
          <w:color w:val="548DD4" w:themeColor="text2" w:themeTint="99"/>
          <w:sz w:val="32"/>
          <w:szCs w:val="32"/>
        </w:rPr>
        <w:t>Liste des acronymes :</w:t>
      </w:r>
    </w:p>
    <w:p w:rsidR="00FF2B6B" w:rsidRDefault="00FF2B6B">
      <w:pPr>
        <w:jc w:val="both"/>
      </w:pPr>
      <w:r>
        <w:t>AIRM</w:t>
      </w:r>
      <w:r w:rsidR="009416BB">
        <w:tab/>
      </w:r>
      <w:r w:rsidR="009416BB">
        <w:tab/>
        <w:t>Association des Industriels de la Région de Meyzieu</w:t>
      </w:r>
    </w:p>
    <w:p w:rsidR="009416BB" w:rsidRDefault="009416BB">
      <w:pPr>
        <w:jc w:val="both"/>
      </w:pPr>
      <w:r>
        <w:t>DEI</w:t>
      </w:r>
      <w:r>
        <w:tab/>
      </w:r>
      <w:r>
        <w:tab/>
        <w:t>Démarche d’Ecologie Industrielle</w:t>
      </w:r>
    </w:p>
    <w:p w:rsidR="009416BB" w:rsidRDefault="009416BB">
      <w:pPr>
        <w:jc w:val="both"/>
      </w:pPr>
      <w:r>
        <w:t>DEIT</w:t>
      </w:r>
      <w:r>
        <w:tab/>
      </w:r>
      <w:r>
        <w:tab/>
        <w:t>Démarche d’Ecologie Industrielle Territoriale</w:t>
      </w:r>
    </w:p>
    <w:p w:rsidR="009416BB" w:rsidRDefault="009416BB">
      <w:pPr>
        <w:jc w:val="both"/>
      </w:pPr>
      <w:r>
        <w:t>EI</w:t>
      </w:r>
      <w:r>
        <w:tab/>
      </w:r>
      <w:r>
        <w:tab/>
        <w:t>Ecologie Industrielle</w:t>
      </w:r>
    </w:p>
    <w:p w:rsidR="009416BB" w:rsidRDefault="009416BB">
      <w:pPr>
        <w:jc w:val="both"/>
      </w:pPr>
      <w:r>
        <w:t>EIT</w:t>
      </w:r>
      <w:r>
        <w:tab/>
      </w:r>
      <w:r>
        <w:tab/>
        <w:t>Ecologie Industrielle territoriale</w:t>
      </w:r>
    </w:p>
    <w:p w:rsidR="009416BB" w:rsidRDefault="009416BB">
      <w:pPr>
        <w:jc w:val="both"/>
      </w:pPr>
      <w:r>
        <w:t>RA</w:t>
      </w:r>
      <w:r>
        <w:tab/>
      </w:r>
      <w:r>
        <w:tab/>
        <w:t>Rhône-Alpes</w:t>
      </w:r>
    </w:p>
    <w:sectPr w:rsidR="009416BB" w:rsidSect="00DF528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1B3" w:rsidRDefault="001741B3">
      <w:pPr>
        <w:spacing w:after="0" w:line="240" w:lineRule="auto"/>
      </w:pPr>
      <w:r>
        <w:separator/>
      </w:r>
    </w:p>
  </w:endnote>
  <w:endnote w:type="continuationSeparator" w:id="0">
    <w:p w:rsidR="001741B3" w:rsidRDefault="0017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063380"/>
      <w:docPartObj>
        <w:docPartGallery w:val="Page Numbers (Bottom of Page)"/>
        <w:docPartUnique/>
      </w:docPartObj>
    </w:sdtPr>
    <w:sdtEndPr/>
    <w:sdtContent>
      <w:p w:rsidR="004C25E4" w:rsidRDefault="004C25E4">
        <w:pPr>
          <w:pStyle w:val="Pieddepage"/>
          <w:jc w:val="right"/>
        </w:pPr>
        <w:r>
          <w:fldChar w:fldCharType="begin"/>
        </w:r>
        <w:r>
          <w:instrText>PAGE   \* MERGEFORMAT</w:instrText>
        </w:r>
        <w:r>
          <w:fldChar w:fldCharType="separate"/>
        </w:r>
        <w:r w:rsidR="000A2363">
          <w:rPr>
            <w:noProof/>
          </w:rPr>
          <w:t>7</w:t>
        </w:r>
        <w:r>
          <w:fldChar w:fldCharType="end"/>
        </w:r>
      </w:p>
    </w:sdtContent>
  </w:sdt>
  <w:p w:rsidR="004C25E4" w:rsidRDefault="004C25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1B3" w:rsidRDefault="001741B3">
      <w:pPr>
        <w:spacing w:after="0" w:line="240" w:lineRule="auto"/>
      </w:pPr>
      <w:r>
        <w:separator/>
      </w:r>
    </w:p>
  </w:footnote>
  <w:footnote w:type="continuationSeparator" w:id="0">
    <w:p w:rsidR="001741B3" w:rsidRDefault="001741B3">
      <w:pPr>
        <w:spacing w:after="0" w:line="240" w:lineRule="auto"/>
      </w:pPr>
      <w:r>
        <w:continuationSeparator/>
      </w:r>
    </w:p>
  </w:footnote>
  <w:footnote w:id="1">
    <w:p w:rsidR="00DF528A" w:rsidRDefault="00DF528A">
      <w:pPr>
        <w:pStyle w:val="Notedebasdepage"/>
      </w:pPr>
      <w:r w:rsidRPr="0043326C">
        <w:rPr>
          <w:rStyle w:val="Appelnotedebasdep"/>
        </w:rPr>
        <w:footnoteRef/>
      </w:r>
      <w:r>
        <w:t xml:space="preserve"> Le terme d’Ecologie industrielle est considéré dans ce travail comme un </w:t>
      </w:r>
      <w:r w:rsidR="00F32D15">
        <w:t>synonyme</w:t>
      </w:r>
      <w:r>
        <w:t xml:space="preserve"> d’économie circulaire</w:t>
      </w:r>
    </w:p>
  </w:footnote>
  <w:footnote w:id="2">
    <w:p w:rsidR="00DF528A" w:rsidRDefault="00DF528A">
      <w:pPr>
        <w:pStyle w:val="Notedebasdepage"/>
      </w:pPr>
      <w:r w:rsidRPr="0043326C">
        <w:rPr>
          <w:rStyle w:val="Appelnotedebasdep"/>
        </w:rPr>
        <w:footnoteRef/>
      </w:r>
      <w:r>
        <w:t xml:space="preserve"> Des écologues tels qu’Evelyn Hutchinson (1948), Howard </w:t>
      </w:r>
      <w:proofErr w:type="spellStart"/>
      <w:r>
        <w:t>Odum</w:t>
      </w:r>
      <w:proofErr w:type="spellEnd"/>
      <w:r>
        <w:t xml:space="preserve"> (1955) et Ramon </w:t>
      </w:r>
      <w:proofErr w:type="spellStart"/>
      <w:r>
        <w:t>Margalef</w:t>
      </w:r>
      <w:proofErr w:type="spellEnd"/>
      <w:r>
        <w:t xml:space="preserve"> (1963) reconnaissent que le système industriel peut être considéré comme un sous-système de la Biosphère. Bien que le terme d’Ecosystème industriel ne soit pas nommé, il est présent dans leurs travaux.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8A"/>
    <w:rsid w:val="0008269C"/>
    <w:rsid w:val="000A2363"/>
    <w:rsid w:val="000F2031"/>
    <w:rsid w:val="00122697"/>
    <w:rsid w:val="001741B3"/>
    <w:rsid w:val="002667FB"/>
    <w:rsid w:val="002F43A6"/>
    <w:rsid w:val="003F3045"/>
    <w:rsid w:val="0043326C"/>
    <w:rsid w:val="0049553E"/>
    <w:rsid w:val="004C25E4"/>
    <w:rsid w:val="005333B0"/>
    <w:rsid w:val="00586E3A"/>
    <w:rsid w:val="006B1C99"/>
    <w:rsid w:val="0072378A"/>
    <w:rsid w:val="009416BB"/>
    <w:rsid w:val="009A2D28"/>
    <w:rsid w:val="00A30A2D"/>
    <w:rsid w:val="00BB239C"/>
    <w:rsid w:val="00D3429C"/>
    <w:rsid w:val="00DF528A"/>
    <w:rsid w:val="00DF7B7E"/>
    <w:rsid w:val="00F014F8"/>
    <w:rsid w:val="00F32D15"/>
    <w:rsid w:val="00F45DDA"/>
    <w:rsid w:val="00F46782"/>
    <w:rsid w:val="00FA3926"/>
    <w:rsid w:val="00FF2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21B1DAC-1505-4FC7-8F7A-1E566DCA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60" w:lineRule="auto"/>
    </w:pPr>
    <w:rPr>
      <w:rFonts w:ascii="Times New Roman" w:hAnsi="Times New Roman"/>
      <w:sz w:val="24"/>
      <w:szCs w:val="24"/>
      <w:lang w:eastAsia="en-US"/>
    </w:rPr>
  </w:style>
  <w:style w:type="paragraph" w:styleId="Titre1">
    <w:name w:val="heading 1"/>
    <w:basedOn w:val="Normal"/>
    <w:next w:val="Normal"/>
    <w:link w:val="Titre1Car"/>
    <w:uiPriority w:val="9"/>
    <w:qFormat/>
    <w:rsid w:val="0043326C"/>
    <w:pPr>
      <w:keepNext/>
      <w:keepLines/>
      <w:spacing w:before="240" w:after="0" w:line="259" w:lineRule="auto"/>
      <w:outlineLvl w:val="0"/>
    </w:pPr>
    <w:rPr>
      <w:rFonts w:ascii="Calibri Light" w:hAnsi="Calibri Light"/>
      <w:color w:val="2E74B5"/>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99"/>
    <w:qFormat/>
    <w:pPr>
      <w:spacing w:after="200" w:line="240" w:lineRule="auto"/>
    </w:pPr>
    <w:rPr>
      <w:i/>
      <w:iCs/>
      <w:color w:val="44546A"/>
      <w:sz w:val="18"/>
      <w:szCs w:val="18"/>
    </w:rPr>
  </w:style>
  <w:style w:type="paragraph" w:styleId="Notedebasdepage">
    <w:name w:val="footnote text"/>
    <w:basedOn w:val="Normal"/>
    <w:link w:val="NotedebasdepageCar"/>
    <w:uiPriority w:val="99"/>
    <w:pPr>
      <w:spacing w:after="0" w:line="240" w:lineRule="auto"/>
    </w:pPr>
    <w:rPr>
      <w:sz w:val="20"/>
      <w:szCs w:val="20"/>
    </w:rPr>
  </w:style>
  <w:style w:type="character" w:customStyle="1" w:styleId="NotedebasdepageCar">
    <w:name w:val="Note de bas de page Car"/>
    <w:link w:val="Notedebasdepage"/>
    <w:uiPriority w:val="99"/>
    <w:rPr>
      <w:rFonts w:ascii="Times New Roman" w:hAnsi="Times New Roman" w:cs="Times New Roman"/>
      <w:sz w:val="20"/>
      <w:szCs w:val="20"/>
    </w:rPr>
  </w:style>
  <w:style w:type="character" w:styleId="Appelnotedebasdep">
    <w:name w:val="footnote reference"/>
    <w:uiPriority w:val="99"/>
    <w:rPr>
      <w:rFonts w:ascii="Times New Roman" w:hAnsi="Times New Roman" w:cs="Times New Roman"/>
      <w:vertAlign w:val="superscript"/>
    </w:rPr>
  </w:style>
  <w:style w:type="paragraph" w:styleId="NormalWeb">
    <w:name w:val="Normal (Web)"/>
    <w:basedOn w:val="Normal"/>
    <w:uiPriority w:val="99"/>
  </w:style>
  <w:style w:type="paragraph" w:styleId="Corpsdetexte">
    <w:name w:val="Body Text"/>
    <w:basedOn w:val="Normal"/>
    <w:link w:val="CorpsdetexteCar"/>
    <w:uiPriority w:val="99"/>
    <w:pPr>
      <w:jc w:val="both"/>
    </w:pPr>
  </w:style>
  <w:style w:type="character" w:customStyle="1" w:styleId="CorpsdetexteCar">
    <w:name w:val="Corps de texte Car"/>
    <w:link w:val="Corpsdetexte"/>
    <w:uiPriority w:val="99"/>
    <w:semiHidden/>
    <w:rsid w:val="00DF528A"/>
    <w:rPr>
      <w:rFonts w:ascii="Times New Roman" w:hAnsi="Times New Roman"/>
      <w:sz w:val="24"/>
      <w:szCs w:val="24"/>
      <w:lang w:eastAsia="en-US"/>
    </w:rPr>
  </w:style>
  <w:style w:type="character" w:customStyle="1" w:styleId="Titre1Car">
    <w:name w:val="Titre 1 Car"/>
    <w:link w:val="Titre1"/>
    <w:uiPriority w:val="9"/>
    <w:rsid w:val="0043326C"/>
    <w:rPr>
      <w:rFonts w:ascii="Calibri Light" w:eastAsia="Times New Roman" w:hAnsi="Calibri Light" w:cs="Times New Roman"/>
      <w:color w:val="2E74B5"/>
      <w:sz w:val="32"/>
      <w:szCs w:val="32"/>
    </w:rPr>
  </w:style>
  <w:style w:type="paragraph" w:styleId="Bibliographie">
    <w:name w:val="Bibliography"/>
    <w:basedOn w:val="Normal"/>
    <w:next w:val="Normal"/>
    <w:uiPriority w:val="37"/>
    <w:unhideWhenUsed/>
    <w:rsid w:val="0043326C"/>
  </w:style>
  <w:style w:type="paragraph" w:styleId="En-tte">
    <w:name w:val="header"/>
    <w:basedOn w:val="Normal"/>
    <w:link w:val="En-tteCar"/>
    <w:uiPriority w:val="99"/>
    <w:unhideWhenUsed/>
    <w:rsid w:val="004C25E4"/>
    <w:pPr>
      <w:tabs>
        <w:tab w:val="center" w:pos="4536"/>
        <w:tab w:val="right" w:pos="9072"/>
      </w:tabs>
      <w:spacing w:after="0" w:line="240" w:lineRule="auto"/>
    </w:pPr>
  </w:style>
  <w:style w:type="character" w:customStyle="1" w:styleId="En-tteCar">
    <w:name w:val="En-tête Car"/>
    <w:basedOn w:val="Policepardfaut"/>
    <w:link w:val="En-tte"/>
    <w:uiPriority w:val="99"/>
    <w:rsid w:val="004C25E4"/>
    <w:rPr>
      <w:rFonts w:ascii="Times New Roman" w:hAnsi="Times New Roman"/>
      <w:sz w:val="24"/>
      <w:szCs w:val="24"/>
      <w:lang w:eastAsia="en-US"/>
    </w:rPr>
  </w:style>
  <w:style w:type="paragraph" w:styleId="Pieddepage">
    <w:name w:val="footer"/>
    <w:basedOn w:val="Normal"/>
    <w:link w:val="PieddepageCar"/>
    <w:uiPriority w:val="99"/>
    <w:unhideWhenUsed/>
    <w:rsid w:val="004C25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25E4"/>
    <w:rPr>
      <w:rFonts w:ascii="Times New Roman" w:hAnsi="Times New Roman"/>
      <w:sz w:val="24"/>
      <w:szCs w:val="24"/>
      <w:lang w:eastAsia="en-US"/>
    </w:rPr>
  </w:style>
  <w:style w:type="paragraph" w:styleId="Textedebulles">
    <w:name w:val="Balloon Text"/>
    <w:basedOn w:val="Normal"/>
    <w:link w:val="TextedebullesCar"/>
    <w:uiPriority w:val="99"/>
    <w:semiHidden/>
    <w:unhideWhenUsed/>
    <w:rsid w:val="00A30A2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0A2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40294">
      <w:bodyDiv w:val="1"/>
      <w:marLeft w:val="0"/>
      <w:marRight w:val="0"/>
      <w:marTop w:val="0"/>
      <w:marBottom w:val="0"/>
      <w:divBdr>
        <w:top w:val="none" w:sz="0" w:space="0" w:color="auto"/>
        <w:left w:val="none" w:sz="0" w:space="0" w:color="auto"/>
        <w:bottom w:val="none" w:sz="0" w:space="0" w:color="auto"/>
        <w:right w:val="none" w:sz="0" w:space="0" w:color="auto"/>
      </w:divBdr>
    </w:div>
    <w:div w:id="452942318">
      <w:bodyDiv w:val="1"/>
      <w:marLeft w:val="0"/>
      <w:marRight w:val="0"/>
      <w:marTop w:val="0"/>
      <w:marBottom w:val="0"/>
      <w:divBdr>
        <w:top w:val="none" w:sz="0" w:space="0" w:color="auto"/>
        <w:left w:val="none" w:sz="0" w:space="0" w:color="auto"/>
        <w:bottom w:val="none" w:sz="0" w:space="0" w:color="auto"/>
        <w:right w:val="none" w:sz="0" w:space="0" w:color="auto"/>
      </w:divBdr>
    </w:div>
    <w:div w:id="873032794">
      <w:bodyDiv w:val="1"/>
      <w:marLeft w:val="0"/>
      <w:marRight w:val="0"/>
      <w:marTop w:val="0"/>
      <w:marBottom w:val="0"/>
      <w:divBdr>
        <w:top w:val="none" w:sz="0" w:space="0" w:color="auto"/>
        <w:left w:val="none" w:sz="0" w:space="0" w:color="auto"/>
        <w:bottom w:val="none" w:sz="0" w:space="0" w:color="auto"/>
        <w:right w:val="none" w:sz="0" w:space="0" w:color="auto"/>
      </w:divBdr>
    </w:div>
    <w:div w:id="20741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b:Tag>
    <b:SourceType>JournalArticle</b:SourceType>
    <b:Guid>{59A2D26F-3A3E-49D5-B7B3-25B4D678AB53}</b:Guid>
    <b:Author>
      <b:Author>
        <b:NameList>
          <b:Person>
            <b:Last>Metereau</b:Last>
            <b:First>R</b:First>
          </b:Person>
          <b:Person>
            <b:Last>Figuière</b:Last>
            <b:First>C</b:First>
          </b:Person>
        </b:NameList>
      </b:Author>
    </b:Author>
    <b:Title>Au carrefour de l'Ecologie Industrielle et du SYAL, premier jalons pour faire progresser la durabilité d'un développement rural localisé</b:Title>
    <b:JournalName>Développement Durable et Territoire</b:JournalName>
    <b:Year>2014</b:Year>
    <b:RefOrder>2</b:RefOrder>
  </b:Source>
  <b:Source>
    <b:Tag>Erk01</b:Tag>
    <b:SourceType>JournalArticle</b:SourceType>
    <b:Guid>{873B0B2E-2D80-459E-BBEA-CD763A8B5FE3}</b:Guid>
    <b:Title>L'écologie industrielle: une stratégie de développement</b:Title>
    <b:Year>2001</b:Year>
    <b:Author>
      <b:Author>
        <b:NameList>
          <b:Person>
            <b:Last>Erkman</b:Last>
            <b:First>Suren</b:First>
          </b:Person>
        </b:NameList>
      </b:Author>
    </b:Author>
    <b:JournalName>Le débat</b:JournalName>
    <b:Pages>106-121</b:Pages>
    <b:RefOrder>3</b:RefOrder>
  </b:Source>
  <b:Source>
    <b:Tag>Erk04</b:Tag>
    <b:SourceType>Book</b:SourceType>
    <b:Guid>{28B493BC-E753-40EB-8521-A24CADEFEF18}</b:Guid>
    <b:Author>
      <b:Author>
        <b:NameList>
          <b:Person>
            <b:Last>Erkmann</b:Last>
            <b:First>Suren</b:First>
          </b:Person>
        </b:NameList>
      </b:Author>
    </b:Author>
    <b:Title>Vers une écologie industrielle</b:Title>
    <b:Year>2004</b:Year>
    <b:City>Paris</b:City>
    <b:Publisher>Editions Charles Léopold Mayer</b:Publisher>
    <b:Pages>252p</b:Pages>
    <b:RefOrder>4</b:RefOrder>
  </b:Source>
  <b:Source>
    <b:Tag>Die12</b:Tag>
    <b:SourceType>JournalArticle</b:SourceType>
    <b:Guid>{9D07EA1A-6559-4DA3-AEFD-32BF3D0BFFDE}</b:Guid>
    <b:Author>
      <b:Author>
        <b:NameList>
          <b:Person>
            <b:Last>Diemer</b:Last>
            <b:First>Arnaud</b:First>
          </b:Person>
        </b:NameList>
      </b:Author>
    </b:Author>
    <b:Title>La technologie au coeur du développement durable: mythe ou réalité.</b:Title>
    <b:JournalName>innovations</b:JournalName>
    <b:Year>2012</b:Year>
    <b:Pages>73-94</b:Pages>
    <b:RefOrder>5</b:RefOrder>
  </b:Source>
  <b:Source>
    <b:Tag>Bea11</b:Tag>
    <b:SourceType>JournalArticle</b:SourceType>
    <b:Guid>{4C1EE9EC-8B11-49F4-98D4-9508380FAFD9}</b:Guid>
    <b:Author>
      <b:Author>
        <b:NameList>
          <b:Person>
            <b:Last>Beaurain</b:Last>
            <b:First>Christophe</b:First>
          </b:Person>
          <b:Person>
            <b:Last>Brullot</b:Last>
            <b:First>Sabrina</b:First>
          </b:Person>
        </b:NameList>
      </b:Author>
    </b:Author>
    <b:Title>L'écologie industrielle comme processus de développement territorial: une lecture par la proximité</b:Title>
    <b:JournalName>Revue d'économie régionale et urbaine</b:JournalName>
    <b:Year>2011</b:Year>
    <b:Pages>313-340</b:Pages>
    <b:RefOrder>6</b:RefOrder>
  </b:Source>
  <b:Source>
    <b:Tag>Buc11</b:Tag>
    <b:SourceType>Book</b:SourceType>
    <b:Guid>{5183ADCE-5AAF-4DD9-BE31-65003C6A1EFA}</b:Guid>
    <b:Author>
      <b:Author>
        <b:NameList>
          <b:Person>
            <b:Last>Buclet</b:Last>
            <b:First>Nicolas</b:First>
          </b:Person>
        </b:NameList>
      </b:Author>
    </b:Author>
    <b:Title>L'écologie industrielle et territoriale, stratégies locales pour un développement durable</b:Title>
    <b:Year>2011</b:Year>
    <b:Pages>313p</b:Pages>
    <b:Publisher>Presse du Septentrion</b:Publisher>
    <b:RefOrder>7</b:RefOrder>
  </b:Source>
  <b:Source>
    <b:Tag>Ado07</b:Tag>
    <b:SourceType>Book</b:SourceType>
    <b:Guid>{67345106-38ED-4C5E-B363-C7B069AB0129}</b:Guid>
    <b:Author>
      <b:Author>
        <b:NameList>
          <b:Person>
            <b:Last>Adoue</b:Last>
            <b:First>Cyril</b:First>
          </b:Person>
        </b:NameList>
      </b:Author>
    </b:Author>
    <b:Title>Mettre en oeuvre l'écologie industrielle</b:Title>
    <b:Year>2007</b:Year>
    <b:Pages>104p</b:Pages>
    <b:Publisher>Presses Polytechniques et Universitaires Romandes</b:Publisher>
    <b:RefOrder>8</b:RefOrder>
  </b:Source>
  <b:Source>
    <b:Tag>Buc13</b:Tag>
    <b:SourceType>BookSection</b:SourceType>
    <b:Guid>{7A61217F-6A70-4D7B-A29D-4EE19B44EB49}</b:Guid>
    <b:Author>
      <b:Author>
        <b:NameList>
          <b:Person>
            <b:Last>Buclet</b:Last>
            <b:First>Nicolas</b:First>
          </b:Person>
        </b:NameList>
      </b:Author>
      <b:BookAuthor>
        <b:NameList>
          <b:Person>
            <b:Last>Vivien</b:Last>
            <b:First>Franck-Dominique</b:First>
          </b:Person>
          <b:Person>
            <b:Last>Jacques</b:Last>
            <b:First>Lepart</b:First>
          </b:Person>
          <b:Person>
            <b:Last>Pascal</b:Last>
            <b:First>Marty</b:First>
          </b:Person>
        </b:NameList>
      </b:BookAuthor>
    </b:Author>
    <b:Title>L'écologie industrielle et territoriale: vers une économie de la rareté</b:Title>
    <b:Year>2013</b:Year>
    <b:Pages>153-173</b:Pages>
    <b:BookTitle>L'évaluation de la durabilité</b:BookTitle>
    <b:Publisher>Quae</b:Publisher>
    <b:RefOrder>1</b:RefOrder>
  </b:Source>
</b:Sources>
</file>

<file path=customXml/itemProps1.xml><?xml version="1.0" encoding="utf-8"?>
<ds:datastoreItem xmlns:ds="http://schemas.openxmlformats.org/officeDocument/2006/customXml" ds:itemID="{9FC92599-F144-4FA2-87E7-647E8926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1789</Words>
  <Characters>9845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armel.chebbi@gmail.com</dc:creator>
  <cp:keywords/>
  <dc:description/>
  <cp:lastModifiedBy>armel.chebbi@gmail.com</cp:lastModifiedBy>
  <cp:revision>15</cp:revision>
  <dcterms:created xsi:type="dcterms:W3CDTF">2014-01-25T17:37:00Z</dcterms:created>
  <dcterms:modified xsi:type="dcterms:W3CDTF">2014-01-28T11:22:00Z</dcterms:modified>
</cp:coreProperties>
</file>