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6"/>
          <w:szCs w:val="36"/>
        </w:rPr>
        <w:t xml:space="preserve">Revenue Cycle Performance Analysis</w:t>
      </w:r>
    </w:p>
    <w:p>
      <w:pPr>
        <w:spacing w:after="20"/>
        <w:jc w:val="center"/>
      </w:pPr>
      <w:r>
        <w:rPr>
          <w:rFonts w:ascii="Arial" w:cs="Arial" w:eastAsia="Arial" w:hAnsi="Arial"/>
          <w:i/>
          <w:iCs/>
          <w:color w:val="666666"/>
          <w:sz w:val="22"/>
          <w:szCs w:val="22"/>
        </w:rPr>
        <w:t xml:space="preserve">Behavioral Health Provider Focus — Medicare Claims Data</w:t>
      </w:r>
    </w:p>
    <w:p>
      <w:pPr>
        <w:spacing w:after="200"/>
        <w:jc w:val="center"/>
      </w:pPr>
      <w:r>
        <w:rPr>
          <w:rFonts w:ascii="Arial" w:cs="Arial" w:eastAsia="Arial" w:hAnsi="Arial"/>
          <w:color w:val="666666"/>
          <w:sz w:val="20"/>
          <w:szCs w:val="20"/>
        </w:rPr>
        <w:t xml:space="preserve">Armelle Linda Ngonga  |  Project Njinks Capstone  |  Week 7</w:t>
      </w:r>
    </w:p>
    <w:p>
      <w:pPr>
        <w:pBdr>
          <w:bottom w:val="single" w:color="2E75B6" w:sz="8" w:space="2"/>
        </w:pBdr>
        <w:spacing w:after="100" w:before="200"/>
      </w:pPr>
      <w:r>
        <w:rPr>
          <w:rFonts w:ascii="Arial" w:cs="Arial" w:eastAsia="Arial" w:hAnsi="Arial"/>
          <w:b/>
          <w:bCs/>
          <w:color w:val="1F4E79"/>
          <w:sz w:val="30"/>
          <w:szCs w:val="30"/>
        </w:rPr>
        <w:t xml:space="preserve">EXECUTIVE SUMMARY</w:t>
      </w:r>
    </w:p>
    <w:p>
      <w:pPr>
        <w:spacing w:after="100"/>
      </w:pPr>
      <w:r>
        <w:rPr>
          <w:rFonts w:ascii="Arial" w:cs="Arial" w:eastAsia="Arial" w:hAnsi="Arial"/>
          <w:sz w:val="21"/>
          <w:szCs w:val="21"/>
        </w:rPr>
        <w:t xml:space="preserve">This analysis examines 1.2 million Medicare provider records to evaluate revenue cycle performance, with a specific focus on behavioral health specialties relevant to organizations like Sun Behavioral Houston. Using SQL queries against real CMS Medicare Physician &amp; Other Practitioners data, this study calculates core RCM KPIs — denial rate, net collection rate, days in accounts receivable, and payment adjustment rates — and identifies meaningful differences between general Medicare billing and behavioral health billing.</w:t>
      </w:r>
    </w:p>
    <w:p>
      <w:pPr>
        <w:pBdr>
          <w:bottom w:val="single" w:color="2E75B6" w:sz="8" w:space="2"/>
        </w:pBdr>
        <w:spacing w:after="100" w:before="200"/>
      </w:pPr>
      <w:r>
        <w:rPr>
          <w:rFonts w:ascii="Arial" w:cs="Arial" w:eastAsia="Arial" w:hAnsi="Arial"/>
          <w:b/>
          <w:bCs/>
          <w:color w:val="1F4E79"/>
          <w:sz w:val="30"/>
          <w:szCs w:val="30"/>
        </w:rPr>
        <w:t xml:space="preserve">METHODOLOGY</w:t>
      </w:r>
    </w:p>
    <w:p>
      <w:pPr>
        <w:spacing w:after="100"/>
      </w:pPr>
      <w:r>
        <w:rPr>
          <w:rFonts w:ascii="Arial" w:cs="Arial" w:eastAsia="Arial" w:hAnsi="Arial"/>
          <w:sz w:val="21"/>
          <w:szCs w:val="21"/>
        </w:rPr>
        <w:t xml:space="preserve">Data source: CMS Medicare Physician &amp; Other Practitioners by Provider dataset (MUP_PHY_R26_P05_V10_D24_Prov), containing 1,296,739 provider records. Analysis was conducted using SQL (DB Browser for SQLite) and visualized in Google Looker Studio. Five core queries were developed covering denial rate, days in AR, provider volume segmentation, behavioral health specialty billing, and behavioral health adjustment rates.</w:t>
      </w:r>
    </w:p>
    <w:p>
      <w:pPr>
        <w:pBdr>
          <w:bottom w:val="single" w:color="2E75B6" w:sz="8" w:space="2"/>
        </w:pBdr>
        <w:spacing w:after="100" w:before="200"/>
      </w:pPr>
      <w:r>
        <w:rPr>
          <w:rFonts w:ascii="Arial" w:cs="Arial" w:eastAsia="Arial" w:hAnsi="Arial"/>
          <w:b/>
          <w:bCs/>
          <w:color w:val="1F4E79"/>
          <w:sz w:val="30"/>
          <w:szCs w:val="30"/>
        </w:rPr>
        <w:t xml:space="preserve">KEY FINDINGS</w:t>
      </w:r>
    </w:p>
    <w:p>
      <w:pPr>
        <w:spacing w:after="80" w:before="160"/>
      </w:pPr>
      <w:r>
        <w:rPr>
          <w:rFonts w:ascii="Arial" w:cs="Arial" w:eastAsia="Arial" w:hAnsi="Arial"/>
          <w:b/>
          <w:bCs/>
          <w:color w:val="1F4E79"/>
          <w:sz w:val="24"/>
          <w:szCs w:val="24"/>
        </w:rPr>
        <w:t xml:space="preserve">1. Denial Rates Are Minimal Across All States</w:t>
      </w:r>
    </w:p>
    <w:p>
      <w:pPr>
        <w:spacing w:after="100"/>
      </w:pPr>
      <w:r>
        <w:rPr>
          <w:rFonts w:ascii="Arial" w:cs="Arial" w:eastAsia="Arial" w:hAnsi="Arial"/>
          <w:sz w:val="21"/>
          <w:szCs w:val="21"/>
        </w:rPr>
        <w:t xml:space="preserve">Medicare's standardized billing rules result in very low outright denial rates — ranging from 0% to 0.02% across all states analyzed. This reflects the federal payer's consistent claims processing rules compared to commercial payers.</w:t>
      </w:r>
    </w:p>
    <w:p>
      <w:pPr>
        <w:spacing w:after="80" w:before="160"/>
      </w:pPr>
      <w:r>
        <w:rPr>
          <w:rFonts w:ascii="Arial" w:cs="Arial" w:eastAsia="Arial" w:hAnsi="Arial"/>
          <w:b/>
          <w:bCs/>
          <w:color w:val="1F4E79"/>
          <w:sz w:val="24"/>
          <w:szCs w:val="24"/>
        </w:rPr>
        <w:t xml:space="preserve">2. Net Collection Rate Averages 24.3%</w:t>
      </w:r>
    </w:p>
    <w:p>
      <w:pPr>
        <w:spacing w:after="100"/>
      </w:pPr>
      <w:r>
        <w:rPr>
          <w:rFonts w:ascii="Arial" w:cs="Arial" w:eastAsia="Arial" w:hAnsi="Arial"/>
          <w:sz w:val="21"/>
          <w:szCs w:val="21"/>
        </w:rPr>
        <w:t xml:space="preserve">Providers bill significantly more than what Medicare ultimately pays. Across the full dataset, Medicare paid approximately 24.3% of total submitted charges — the remainder reflects standard contractual adjustments rather than denials, consistent with Medicare's fee schedule structure.</w:t>
      </w:r>
    </w:p>
    <w:p>
      <w:pPr>
        <w:spacing w:after="80" w:before="160"/>
      </w:pPr>
      <w:r>
        <w:rPr>
          <w:rFonts w:ascii="Arial" w:cs="Arial" w:eastAsia="Arial" w:hAnsi="Arial"/>
          <w:b/>
          <w:bCs/>
          <w:color w:val="1F4E79"/>
          <w:sz w:val="24"/>
          <w:szCs w:val="24"/>
        </w:rPr>
        <w:t xml:space="preserve">3. Behavioral Health Shows Elevated Adjustment Rates</w:t>
      </w:r>
    </w:p>
    <w:p>
      <w:pPr>
        <w:spacing w:after="100"/>
      </w:pPr>
      <w:r>
        <w:rPr>
          <w:rFonts w:ascii="Arial" w:cs="Arial" w:eastAsia="Arial" w:hAnsi="Arial"/>
          <w:sz w:val="21"/>
          <w:szCs w:val="21"/>
        </w:rPr>
        <w:t xml:space="preserve">Psychiatric and behavioral health specialties show notably higher adjustment rates than the Medicare-wide average: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c>
          <w:tcPr>
            <w:tcW w:type="dxa" w:w="3350"/>
            <w:shd w:fill="1F4E79" w:val="clear"/>
          </w:tcPr>
          <w:p>
            <w:r>
              <w:rPr>
                <w:rFonts w:ascii="Arial" w:cs="Arial" w:eastAsia="Arial" w:hAnsi="Arial"/>
                <w:b/>
                <w:bCs/>
                <w:color w:val="FFFFFF"/>
                <w:sz w:val="20"/>
                <w:szCs w:val="20"/>
              </w:rPr>
              <w:t xml:space="preserve">Specialty</w:t>
            </w:r>
          </w:p>
        </w:tc>
        <w:tc>
          <w:tcPr>
            <w:tcW w:type="dxa" w:w="2000"/>
            <w:shd w:fill="1F4E79" w:val="clear"/>
          </w:tcPr>
          <w:p>
            <w:r>
              <w:rPr>
                <w:rFonts w:ascii="Arial" w:cs="Arial" w:eastAsia="Arial" w:hAnsi="Arial"/>
                <w:b/>
                <w:bCs/>
                <w:color w:val="FFFFFF"/>
                <w:sz w:val="20"/>
                <w:szCs w:val="20"/>
              </w:rPr>
              <w:t xml:space="preserve">Total Billed</w:t>
            </w:r>
          </w:p>
        </w:tc>
        <w:tc>
          <w:tcPr>
            <w:tcW w:type="dxa" w:w="2000"/>
            <w:shd w:fill="1F4E79" w:val="clear"/>
          </w:tcPr>
          <w:p>
            <w:r>
              <w:rPr>
                <w:rFonts w:ascii="Arial" w:cs="Arial" w:eastAsia="Arial" w:hAnsi="Arial"/>
                <w:b/>
                <w:bCs/>
                <w:color w:val="FFFFFF"/>
                <w:sz w:val="20"/>
                <w:szCs w:val="20"/>
              </w:rPr>
              <w:t xml:space="preserve">Total Paid</w:t>
            </w:r>
          </w:p>
        </w:tc>
        <w:tc>
          <w:tcPr>
            <w:tcW w:type="dxa" w:w="2000"/>
            <w:shd w:fill="1F4E79" w:val="clear"/>
          </w:tcPr>
          <w:p>
            <w:r>
              <w:rPr>
                <w:rFonts w:ascii="Arial" w:cs="Arial" w:eastAsia="Arial" w:hAnsi="Arial"/>
                <w:b/>
                <w:bCs/>
                <w:color w:val="FFFFFF"/>
                <w:sz w:val="20"/>
                <w:szCs w:val="20"/>
              </w:rPr>
              <w:t xml:space="preserve">Adjustment Rate</w:t>
            </w:r>
          </w:p>
        </w:tc>
      </w:tr>
      <w:tr>
        <w:tc>
          <w:tcPr>
            <w:tcW w:type="dxa" w:w="3350"/>
          </w:tcPr>
          <w:p>
            <w:r>
              <w:rPr>
                <w:rFonts w:ascii="Arial" w:cs="Arial" w:eastAsia="Arial" w:hAnsi="Arial"/>
                <w:b w:val="false"/>
                <w:bCs w:val="false"/>
                <w:color w:val="000000"/>
                <w:sz w:val="20"/>
                <w:szCs w:val="20"/>
              </w:rPr>
              <w:t xml:space="preserve">Neuropsychiatry</w:t>
            </w:r>
          </w:p>
        </w:tc>
        <w:tc>
          <w:tcPr>
            <w:tcW w:type="dxa" w:w="2000"/>
          </w:tcPr>
          <w:p>
            <w:r>
              <w:rPr>
                <w:rFonts w:ascii="Arial" w:cs="Arial" w:eastAsia="Arial" w:hAnsi="Arial"/>
                <w:b w:val="false"/>
                <w:bCs w:val="false"/>
                <w:color w:val="000000"/>
                <w:sz w:val="20"/>
                <w:szCs w:val="20"/>
              </w:rPr>
              <w:t xml:space="preserve">$40.5M</w:t>
            </w:r>
          </w:p>
        </w:tc>
        <w:tc>
          <w:tcPr>
            <w:tcW w:type="dxa" w:w="2000"/>
          </w:tcPr>
          <w:p>
            <w:r>
              <w:rPr>
                <w:rFonts w:ascii="Arial" w:cs="Arial" w:eastAsia="Arial" w:hAnsi="Arial"/>
                <w:b w:val="false"/>
                <w:bCs w:val="false"/>
                <w:color w:val="000000"/>
                <w:sz w:val="20"/>
                <w:szCs w:val="20"/>
              </w:rPr>
              <w:t xml:space="preserve">$10.9M</w:t>
            </w:r>
          </w:p>
        </w:tc>
        <w:tc>
          <w:tcPr>
            <w:tcW w:type="dxa" w:w="2000"/>
          </w:tcPr>
          <w:p>
            <w:r>
              <w:rPr>
                <w:rFonts w:ascii="Arial" w:cs="Arial" w:eastAsia="Arial" w:hAnsi="Arial"/>
                <w:b w:val="false"/>
                <w:bCs w:val="false"/>
                <w:color w:val="000000"/>
                <w:sz w:val="20"/>
                <w:szCs w:val="20"/>
              </w:rPr>
              <w:t xml:space="preserve">73.12%</w:t>
            </w:r>
          </w:p>
        </w:tc>
      </w:tr>
      <w:tr>
        <w:tc>
          <w:tcPr>
            <w:tcW w:type="dxa" w:w="3350"/>
          </w:tcPr>
          <w:p>
            <w:r>
              <w:rPr>
                <w:rFonts w:ascii="Arial" w:cs="Arial" w:eastAsia="Arial" w:hAnsi="Arial"/>
                <w:b w:val="false"/>
                <w:bCs w:val="false"/>
                <w:color w:val="000000"/>
                <w:sz w:val="20"/>
                <w:szCs w:val="20"/>
              </w:rPr>
              <w:t xml:space="preserve">Geriatric Psychiatry</w:t>
            </w:r>
          </w:p>
        </w:tc>
        <w:tc>
          <w:tcPr>
            <w:tcW w:type="dxa" w:w="2000"/>
          </w:tcPr>
          <w:p>
            <w:r>
              <w:rPr>
                <w:rFonts w:ascii="Arial" w:cs="Arial" w:eastAsia="Arial" w:hAnsi="Arial"/>
                <w:b w:val="false"/>
                <w:bCs w:val="false"/>
                <w:color w:val="000000"/>
                <w:sz w:val="20"/>
                <w:szCs w:val="20"/>
              </w:rPr>
              <w:t xml:space="preserve">$28.4M</w:t>
            </w:r>
          </w:p>
        </w:tc>
        <w:tc>
          <w:tcPr>
            <w:tcW w:type="dxa" w:w="2000"/>
          </w:tcPr>
          <w:p>
            <w:r>
              <w:rPr>
                <w:rFonts w:ascii="Arial" w:cs="Arial" w:eastAsia="Arial" w:hAnsi="Arial"/>
                <w:b w:val="false"/>
                <w:bCs w:val="false"/>
                <w:color w:val="000000"/>
                <w:sz w:val="20"/>
                <w:szCs w:val="20"/>
              </w:rPr>
              <w:t xml:space="preserve">$8.5M</w:t>
            </w:r>
          </w:p>
        </w:tc>
        <w:tc>
          <w:tcPr>
            <w:tcW w:type="dxa" w:w="2000"/>
          </w:tcPr>
          <w:p>
            <w:r>
              <w:rPr>
                <w:rFonts w:ascii="Arial" w:cs="Arial" w:eastAsia="Arial" w:hAnsi="Arial"/>
                <w:b w:val="false"/>
                <w:bCs w:val="false"/>
                <w:color w:val="000000"/>
                <w:sz w:val="20"/>
                <w:szCs w:val="20"/>
              </w:rPr>
              <w:t xml:space="preserve">70.16%</w:t>
            </w:r>
          </w:p>
        </w:tc>
      </w:tr>
      <w:tr>
        <w:tc>
          <w:tcPr>
            <w:tcW w:type="dxa" w:w="3350"/>
          </w:tcPr>
          <w:p>
            <w:r>
              <w:rPr>
                <w:rFonts w:ascii="Arial" w:cs="Arial" w:eastAsia="Arial" w:hAnsi="Arial"/>
                <w:b w:val="false"/>
                <w:bCs w:val="false"/>
                <w:color w:val="000000"/>
                <w:sz w:val="20"/>
                <w:szCs w:val="20"/>
              </w:rPr>
              <w:t xml:space="preserve">Psychiatry</w:t>
            </w:r>
          </w:p>
        </w:tc>
        <w:tc>
          <w:tcPr>
            <w:tcW w:type="dxa" w:w="2000"/>
          </w:tcPr>
          <w:p>
            <w:r>
              <w:rPr>
                <w:rFonts w:ascii="Arial" w:cs="Arial" w:eastAsia="Arial" w:hAnsi="Arial"/>
                <w:b w:val="false"/>
                <w:bCs w:val="false"/>
                <w:color w:val="000000"/>
                <w:sz w:val="20"/>
                <w:szCs w:val="20"/>
              </w:rPr>
              <w:t xml:space="preserve">$2.0B</w:t>
            </w:r>
          </w:p>
        </w:tc>
        <w:tc>
          <w:tcPr>
            <w:tcW w:type="dxa" w:w="2000"/>
          </w:tcPr>
          <w:p>
            <w:r>
              <w:rPr>
                <w:rFonts w:ascii="Arial" w:cs="Arial" w:eastAsia="Arial" w:hAnsi="Arial"/>
                <w:b w:val="false"/>
                <w:bCs w:val="false"/>
                <w:color w:val="000000"/>
                <w:sz w:val="20"/>
                <w:szCs w:val="20"/>
              </w:rPr>
              <w:t xml:space="preserve">$655.7M</w:t>
            </w:r>
          </w:p>
        </w:tc>
        <w:tc>
          <w:tcPr>
            <w:tcW w:type="dxa" w:w="2000"/>
          </w:tcPr>
          <w:p>
            <w:r>
              <w:rPr>
                <w:rFonts w:ascii="Arial" w:cs="Arial" w:eastAsia="Arial" w:hAnsi="Arial"/>
                <w:b w:val="false"/>
                <w:bCs w:val="false"/>
                <w:color w:val="000000"/>
                <w:sz w:val="20"/>
                <w:szCs w:val="20"/>
              </w:rPr>
              <w:t xml:space="preserve">67.20%</w:t>
            </w:r>
          </w:p>
        </w:tc>
      </w:tr>
      <w:tr>
        <w:tc>
          <w:tcPr>
            <w:tcW w:type="dxa" w:w="3350"/>
          </w:tcPr>
          <w:p>
            <w:r>
              <w:rPr>
                <w:rFonts w:ascii="Arial" w:cs="Arial" w:eastAsia="Arial" w:hAnsi="Arial"/>
                <w:b w:val="false"/>
                <w:bCs w:val="false"/>
                <w:color w:val="000000"/>
                <w:sz w:val="20"/>
                <w:szCs w:val="20"/>
              </w:rPr>
              <w:t xml:space="preserve">Clinical Psychology</w:t>
            </w:r>
          </w:p>
        </w:tc>
        <w:tc>
          <w:tcPr>
            <w:tcW w:type="dxa" w:w="2000"/>
          </w:tcPr>
          <w:p>
            <w:r>
              <w:rPr>
                <w:rFonts w:ascii="Arial" w:cs="Arial" w:eastAsia="Arial" w:hAnsi="Arial"/>
                <w:b w:val="false"/>
                <w:bCs w:val="false"/>
                <w:color w:val="000000"/>
                <w:sz w:val="20"/>
                <w:szCs w:val="20"/>
              </w:rPr>
              <w:t xml:space="preserve">$1.1B</w:t>
            </w:r>
          </w:p>
        </w:tc>
        <w:tc>
          <w:tcPr>
            <w:tcW w:type="dxa" w:w="2000"/>
          </w:tcPr>
          <w:p>
            <w:r>
              <w:rPr>
                <w:rFonts w:ascii="Arial" w:cs="Arial" w:eastAsia="Arial" w:hAnsi="Arial"/>
                <w:b w:val="false"/>
                <w:bCs w:val="false"/>
                <w:color w:val="000000"/>
                <w:sz w:val="20"/>
                <w:szCs w:val="20"/>
              </w:rPr>
              <w:t xml:space="preserve">$445.6M</w:t>
            </w:r>
          </w:p>
        </w:tc>
        <w:tc>
          <w:tcPr>
            <w:tcW w:type="dxa" w:w="2000"/>
          </w:tcPr>
          <w:p>
            <w:r>
              <w:rPr>
                <w:rFonts w:ascii="Arial" w:cs="Arial" w:eastAsia="Arial" w:hAnsi="Arial"/>
                <w:b w:val="false"/>
                <w:bCs w:val="false"/>
                <w:color w:val="000000"/>
                <w:sz w:val="20"/>
                <w:szCs w:val="20"/>
              </w:rPr>
              <w:t xml:space="preserve">60.32%</w:t>
            </w:r>
          </w:p>
        </w:tc>
      </w:tr>
    </w:tbl>
    <w:p>
      <w:pPr>
        <w:spacing w:before="120"/>
      </w:pPr>
      <w:r>
        <w:rPr>
          <w:sz w:val="20"/>
          <w:szCs w:val="20"/>
        </w:rPr>
        <w:t xml:space="preserve"/>
      </w:r>
    </w:p>
    <w:p>
      <w:pPr>
        <w:spacing w:after="100"/>
      </w:pPr>
      <w:r>
        <w:rPr>
          <w:rFonts w:ascii="Arial" w:cs="Arial" w:eastAsia="Arial" w:hAnsi="Arial"/>
          <w:sz w:val="21"/>
          <w:szCs w:val="21"/>
        </w:rPr>
        <w:t xml:space="preserve">These rates are markedly higher than the 24.3% Medicare-wide average adjustment rate, indicating that behavioral health billing faces steeper contractual write-downs. This finding directly supports the need for specialized RCM analytics in behavioral health settings.</w:t>
      </w:r>
    </w:p>
    <w:p>
      <w:pPr>
        <w:spacing w:after="80" w:before="160"/>
      </w:pPr>
      <w:r>
        <w:rPr>
          <w:rFonts w:ascii="Arial" w:cs="Arial" w:eastAsia="Arial" w:hAnsi="Arial"/>
          <w:b/>
          <w:bCs/>
          <w:color w:val="1F4E79"/>
          <w:sz w:val="24"/>
          <w:szCs w:val="24"/>
        </w:rPr>
        <w:t xml:space="preserve">4. Provider Volume Drives Payment Concentration</w:t>
      </w:r>
    </w:p>
    <w:p>
      <w:pPr>
        <w:spacing w:after="100"/>
      </w:pPr>
      <w:r>
        <w:rPr>
          <w:rFonts w:ascii="Arial" w:cs="Arial" w:eastAsia="Arial" w:hAnsi="Arial"/>
          <w:sz w:val="21"/>
          <w:szCs w:val="21"/>
        </w:rPr>
        <w:t xml:space="preserve">High-volume providers (Tot_Srvcs &gt; 1,000), while only 30% of all providers, receive average payments 16 times higher than low-volume providers ($252,613 vs. $15,935). This concentration suggests that revenue cycle risk is unevenly distributed and warrants targeted monitoring of high-volume accounts.</w:t>
      </w:r>
    </w:p>
    <w:p>
      <w:pPr>
        <w:spacing w:after="80" w:before="160"/>
      </w:pPr>
      <w:r>
        <w:rPr>
          <w:rFonts w:ascii="Arial" w:cs="Arial" w:eastAsia="Arial" w:hAnsi="Arial"/>
          <w:b/>
          <w:bCs/>
          <w:color w:val="1F4E79"/>
          <w:sz w:val="24"/>
          <w:szCs w:val="24"/>
        </w:rPr>
        <w:t xml:space="preserve">5. Days in AR Reflects Annual Aggregate Reporting</w:t>
      </w:r>
    </w:p>
    <w:p>
      <w:pPr>
        <w:spacing w:after="100"/>
      </w:pPr>
      <w:r>
        <w:rPr>
          <w:rFonts w:ascii="Arial" w:cs="Arial" w:eastAsia="Arial" w:hAnsi="Arial"/>
          <w:sz w:val="21"/>
          <w:szCs w:val="21"/>
        </w:rPr>
        <w:t xml:space="preserve">Calculated Days in AR values (286–347 days) far exceed the industry benchmark of under 40 days. This is expected given the dataset represents annual aggregate billing rather than live claim-level tracking, but it reinforces the operational value of real-time RCM dashboards for day-to-day accounts receivable management.</w:t>
      </w:r>
    </w:p>
    <w:p>
      <w:pPr>
        <w:pBdr>
          <w:bottom w:val="single" w:color="2E75B6" w:sz="8" w:space="2"/>
        </w:pBdr>
        <w:spacing w:after="100" w:before="200"/>
      </w:pPr>
      <w:r>
        <w:rPr>
          <w:rFonts w:ascii="Arial" w:cs="Arial" w:eastAsia="Arial" w:hAnsi="Arial"/>
          <w:b/>
          <w:bCs/>
          <w:color w:val="1F4E79"/>
          <w:sz w:val="30"/>
          <w:szCs w:val="30"/>
        </w:rPr>
        <w:t xml:space="preserve">RECOMMENDATION</w:t>
      </w:r>
    </w:p>
    <w:p>
      <w:pPr>
        <w:pStyle w:val="ListParagraph"/>
        <w:numPr>
          <w:ilvl w:val="0"/>
          <w:numId w:val="2"/>
        </w:numPr>
        <w:spacing w:after="60"/>
      </w:pPr>
      <w:r>
        <w:rPr>
          <w:rFonts w:ascii="Arial" w:cs="Arial" w:eastAsia="Arial" w:hAnsi="Arial"/>
          <w:b w:val="false"/>
          <w:bCs w:val="false"/>
          <w:sz w:val="21"/>
          <w:szCs w:val="21"/>
        </w:rPr>
        <w:t xml:space="preserve">Behavioral health providers such as Sun Behavioral Houston should implement RCM analytics specifically tuned to psychiatric billing codes, given adjustment rates 2.5–3x higher than the Medicare-wide average.</w:t>
      </w:r>
    </w:p>
    <w:p>
      <w:pPr>
        <w:pStyle w:val="ListParagraph"/>
        <w:numPr>
          <w:ilvl w:val="0"/>
          <w:numId w:val="2"/>
        </w:numPr>
        <w:spacing w:after="60"/>
      </w:pPr>
      <w:r>
        <w:rPr>
          <w:rFonts w:ascii="Arial" w:cs="Arial" w:eastAsia="Arial" w:hAnsi="Arial"/>
          <w:b w:val="false"/>
          <w:bCs w:val="false"/>
          <w:sz w:val="21"/>
          <w:szCs w:val="21"/>
        </w:rPr>
        <w:t xml:space="preserve">Prioritize monitoring of high-volume provider accounts, which represent disproportionate payment concentration and revenue risk.</w:t>
      </w:r>
    </w:p>
    <w:p>
      <w:pPr>
        <w:pStyle w:val="ListParagraph"/>
        <w:numPr>
          <w:ilvl w:val="0"/>
          <w:numId w:val="2"/>
        </w:numPr>
        <w:spacing w:after="60"/>
      </w:pPr>
      <w:r>
        <w:rPr>
          <w:rFonts w:ascii="Arial" w:cs="Arial" w:eastAsia="Arial" w:hAnsi="Arial"/>
          <w:b w:val="false"/>
          <w:bCs w:val="false"/>
          <w:sz w:val="21"/>
          <w:szCs w:val="21"/>
        </w:rPr>
        <w:t xml:space="preserve">Deploy real-time dashboards (vs. annual aggregate reporting) to track Days in AR at the claim level, enabling faster identification of collection bottlenecks.</w:t>
      </w:r>
    </w:p>
    <w:p>
      <w:pPr>
        <w:pStyle w:val="ListParagraph"/>
        <w:numPr>
          <w:ilvl w:val="0"/>
          <w:numId w:val="2"/>
        </w:numPr>
        <w:spacing w:after="60"/>
      </w:pPr>
      <w:r>
        <w:rPr>
          <w:rFonts w:ascii="Arial" w:cs="Arial" w:eastAsia="Arial" w:hAnsi="Arial"/>
          <w:b w:val="false"/>
          <w:bCs w:val="false"/>
          <w:sz w:val="21"/>
          <w:szCs w:val="21"/>
        </w:rPr>
        <w:t xml:space="preserve">Standardize denial and adjustment tracking across specialties to benchmark behavioral health performance against organizational and industry targets.</w:t>
      </w:r>
    </w:p>
    <w:p>
      <w:pPr>
        <w:pBdr>
          <w:bottom w:val="single" w:color="2E75B6" w:sz="8" w:space="2"/>
        </w:pBdr>
        <w:spacing w:after="100" w:before="200"/>
      </w:pPr>
      <w:r>
        <w:rPr>
          <w:rFonts w:ascii="Arial" w:cs="Arial" w:eastAsia="Arial" w:hAnsi="Arial"/>
          <w:b/>
          <w:bCs/>
          <w:color w:val="1F4E79"/>
          <w:sz w:val="30"/>
          <w:szCs w:val="30"/>
        </w:rPr>
        <w:t xml:space="preserve">TOOLS &amp; DATA SOURCES</w:t>
      </w:r>
    </w:p>
    <w:p>
      <w:pPr>
        <w:pStyle w:val="ListParagraph"/>
        <w:numPr>
          <w:ilvl w:val="0"/>
          <w:numId w:val="2"/>
        </w:numPr>
        <w:spacing w:after="60"/>
      </w:pPr>
      <w:r>
        <w:rPr>
          <w:rFonts w:ascii="Arial" w:cs="Arial" w:eastAsia="Arial" w:hAnsi="Arial"/>
          <w:b w:val="false"/>
          <w:bCs w:val="false"/>
          <w:sz w:val="21"/>
          <w:szCs w:val="21"/>
        </w:rPr>
        <w:t xml:space="preserve">SQL — DB Browser for SQLite, querying 1.2M CMS Medicare provider records</w:t>
      </w:r>
    </w:p>
    <w:p>
      <w:pPr>
        <w:pStyle w:val="ListParagraph"/>
        <w:numPr>
          <w:ilvl w:val="0"/>
          <w:numId w:val="2"/>
        </w:numPr>
        <w:spacing w:after="60"/>
      </w:pPr>
      <w:r>
        <w:rPr>
          <w:rFonts w:ascii="Arial" w:cs="Arial" w:eastAsia="Arial" w:hAnsi="Arial"/>
          <w:b w:val="false"/>
          <w:bCs w:val="false"/>
          <w:sz w:val="21"/>
          <w:szCs w:val="21"/>
        </w:rPr>
        <w:t xml:space="preserve">Google Looker Studio — interactive dashboard with KPI scorecards, provider breakdown, and state filtering</w:t>
      </w:r>
    </w:p>
    <w:p>
      <w:pPr>
        <w:pStyle w:val="ListParagraph"/>
        <w:numPr>
          <w:ilvl w:val="0"/>
          <w:numId w:val="2"/>
        </w:numPr>
        <w:spacing w:after="60"/>
      </w:pPr>
      <w:r>
        <w:rPr>
          <w:rFonts w:ascii="Arial" w:cs="Arial" w:eastAsia="Arial" w:hAnsi="Arial"/>
          <w:b w:val="false"/>
          <w:bCs w:val="false"/>
          <w:sz w:val="21"/>
          <w:szCs w:val="21"/>
        </w:rPr>
        <w:t xml:space="preserve">Data Source: CMS Medicare Physician &amp; Other Practitioners by Provider (MUP_PHY_R26_P05_V10_D24_Prov)</w:t>
      </w:r>
    </w:p>
    <w:p>
      <w:pPr>
        <w:pStyle w:val="ListParagraph"/>
        <w:numPr>
          <w:ilvl w:val="0"/>
          <w:numId w:val="2"/>
        </w:numPr>
        <w:spacing w:after="60"/>
      </w:pPr>
      <w:r>
        <w:rPr>
          <w:rFonts w:ascii="Arial" w:cs="Arial" w:eastAsia="Arial" w:hAnsi="Arial"/>
          <w:b w:val="false"/>
          <w:bCs w:val="false"/>
          <w:sz w:val="21"/>
          <w:szCs w:val="21"/>
        </w:rPr>
        <w:t xml:space="preserve">Portfolio: github.com/armellenjinkeu2-hue/njinks-sql</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2026-07-06T03:08:54.289Z</dcterms:created>
  <dcterms:modified xsi:type="dcterms:W3CDTF">2026-07-06T03:08:54.300Z</dcterms:modified>
</cp:coreProperties>
</file>

<file path=docProps/custom.xml><?xml version="1.0" encoding="utf-8"?>
<Properties xmlns="http://schemas.openxmlformats.org/officeDocument/2006/custom-properties" xmlns:vt="http://schemas.openxmlformats.org/officeDocument/2006/docPropsVTypes"/>
</file>