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6"/>
          <w:szCs w:val="36"/>
        </w:rPr>
        <w:t xml:space="preserve">EHR System Documentation</w:t>
      </w:r>
    </w:p>
    <w:p>
      <w:pPr>
        <w:spacing w:after="20"/>
        <w:jc w:val="center"/>
      </w:pPr>
      <w:r>
        <w:rPr>
          <w:rFonts w:ascii="Arial" w:cs="Arial" w:eastAsia="Arial" w:hAnsi="Arial"/>
          <w:i/>
          <w:iCs/>
          <w:color w:val="666666"/>
          <w:sz w:val="22"/>
          <w:szCs w:val="22"/>
        </w:rPr>
        <w:t xml:space="preserve">FHIR Data Flow — Behavioral Health Patient Encounter Lifecycle</w:t>
      </w:r>
    </w:p>
    <w:p>
      <w:pPr>
        <w:spacing w:after="200"/>
        <w:jc w:val="center"/>
      </w:pPr>
      <w:r>
        <w:rPr>
          <w:rFonts w:ascii="Arial" w:cs="Arial" w:eastAsia="Arial" w:hAnsi="Arial"/>
          <w:color w:val="666666"/>
          <w:sz w:val="20"/>
          <w:szCs w:val="20"/>
        </w:rPr>
        <w:t xml:space="preserve">Armelle Linda Ngonga  |  Project Njinks Capstone  |  Week 7 — Health IT Deliverable</w:t>
      </w:r>
    </w:p>
    <w:p>
      <w:pPr>
        <w:pBdr>
          <w:bottom w:val="single" w:color="2E75B6" w:sz="8" w:space="2"/>
        </w:pBdr>
        <w:spacing w:after="100" w:before="200"/>
      </w:pPr>
      <w:r>
        <w:rPr>
          <w:rFonts w:ascii="Arial" w:cs="Arial" w:eastAsia="Arial" w:hAnsi="Arial"/>
          <w:b/>
          <w:bCs/>
          <w:color w:val="1F4E79"/>
          <w:sz w:val="30"/>
          <w:szCs w:val="30"/>
        </w:rPr>
        <w:t xml:space="preserve">PURPOSE</w:t>
      </w:r>
    </w:p>
    <w:p>
      <w:pPr>
        <w:spacing w:after="100"/>
      </w:pPr>
      <w:r>
        <w:rPr>
          <w:rFonts w:ascii="Arial" w:cs="Arial" w:eastAsia="Arial" w:hAnsi="Arial"/>
          <w:sz w:val="21"/>
          <w:szCs w:val="21"/>
        </w:rPr>
        <w:t xml:space="preserve">This document describes how patient data flows through an Electronic Health Record (EHR) system during a behavioral health encounter, using the FHIR R4 interoperability standard. It complements the Revenue Cycle Performance Analysis (BIA deliverable) by showing the underlying system architecture that generates the claims and billing data analyzed in that report.</w:t>
      </w:r>
    </w:p>
    <w:p>
      <w:pPr>
        <w:pBdr>
          <w:bottom w:val="single" w:color="2E75B6" w:sz="8" w:space="2"/>
        </w:pBdr>
        <w:spacing w:after="100" w:before="200"/>
      </w:pPr>
      <w:r>
        <w:rPr>
          <w:rFonts w:ascii="Arial" w:cs="Arial" w:eastAsia="Arial" w:hAnsi="Arial"/>
          <w:b/>
          <w:bCs/>
          <w:color w:val="1F4E79"/>
          <w:sz w:val="30"/>
          <w:szCs w:val="30"/>
        </w:rPr>
        <w:t xml:space="preserve">SCOPE</w:t>
      </w:r>
    </w:p>
    <w:p>
      <w:pPr>
        <w:spacing w:after="100"/>
      </w:pPr>
      <w:r>
        <w:rPr>
          <w:rFonts w:ascii="Arial" w:cs="Arial" w:eastAsia="Arial" w:hAnsi="Arial"/>
          <w:sz w:val="21"/>
          <w:szCs w:val="21"/>
        </w:rPr>
        <w:t xml:space="preserve">The scope covers a single patient encounter at a behavioral health provider (modeled on Sun Behavioral Houston) from initial registration through claim submission, mapped to six core FHIR R4 resources.</w:t>
      </w:r>
    </w:p>
    <w:p>
      <w:pPr>
        <w:pBdr>
          <w:bottom w:val="single" w:color="2E75B6" w:sz="8" w:space="2"/>
        </w:pBdr>
        <w:spacing w:after="100" w:before="200"/>
      </w:pPr>
      <w:r>
        <w:rPr>
          <w:rFonts w:ascii="Arial" w:cs="Arial" w:eastAsia="Arial" w:hAnsi="Arial"/>
          <w:b/>
          <w:bCs/>
          <w:color w:val="1F4E79"/>
          <w:sz w:val="30"/>
          <w:szCs w:val="30"/>
        </w:rPr>
        <w:t xml:space="preserve">SYSTEM DATA FLOW</w:t>
      </w:r>
    </w:p>
    <w:p>
      <w:pPr>
        <w:spacing w:after="100"/>
      </w:pPr>
      <w:r>
        <w:rPr>
          <w:rFonts w:ascii="Arial" w:cs="Arial" w:eastAsia="Arial" w:hAnsi="Arial"/>
          <w:sz w:val="21"/>
          <w:szCs w:val="21"/>
        </w:rPr>
        <w:t xml:space="preserve">The following sequence represents the complete data lifecycle of a behavioral health patient encounter: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650"/>
        <w:gridCol w:w="3600"/>
      </w:tblGrid>
      <w:tr>
        <w:tc>
          <w:tcPr>
            <w:tcW w:type="dxa" w:w="700"/>
            <w:shd w:fill="1F4E79" w:val="clear"/>
          </w:tcPr>
          <w:p>
            <w:r>
              <w:rPr>
                <w:rFonts w:ascii="Arial" w:cs="Arial" w:eastAsia="Arial" w:hAnsi="Arial"/>
                <w:b/>
                <w:bCs/>
                <w:color w:val="FFFFFF"/>
                <w:sz w:val="20"/>
                <w:szCs w:val="20"/>
              </w:rPr>
              <w:t xml:space="preserve">Step</w:t>
            </w:r>
          </w:p>
        </w:tc>
        <w:tc>
          <w:tcPr>
            <w:tcW w:type="dxa" w:w="2400"/>
            <w:shd w:fill="1F4E79" w:val="clear"/>
          </w:tcPr>
          <w:p>
            <w:r>
              <w:rPr>
                <w:rFonts w:ascii="Arial" w:cs="Arial" w:eastAsia="Arial" w:hAnsi="Arial"/>
                <w:b/>
                <w:bCs/>
                <w:color w:val="FFFFFF"/>
                <w:sz w:val="20"/>
                <w:szCs w:val="20"/>
              </w:rPr>
              <w:t xml:space="preserve">Process</w:t>
            </w:r>
          </w:p>
        </w:tc>
        <w:tc>
          <w:tcPr>
            <w:tcW w:type="dxa" w:w="2650"/>
            <w:shd w:fill="1F4E79" w:val="clear"/>
          </w:tcPr>
          <w:p>
            <w:r>
              <w:rPr>
                <w:rFonts w:ascii="Arial" w:cs="Arial" w:eastAsia="Arial" w:hAnsi="Arial"/>
                <w:b/>
                <w:bCs/>
                <w:color w:val="FFFFFF"/>
                <w:sz w:val="20"/>
                <w:szCs w:val="20"/>
              </w:rPr>
              <w:t xml:space="preserve">FHIR Resource</w:t>
            </w:r>
          </w:p>
        </w:tc>
        <w:tc>
          <w:tcPr>
            <w:tcW w:type="dxa" w:w="3600"/>
            <w:shd w:fill="1F4E79" w:val="clear"/>
          </w:tcPr>
          <w:p>
            <w:r>
              <w:rPr>
                <w:rFonts w:ascii="Arial" w:cs="Arial" w:eastAsia="Arial" w:hAnsi="Arial"/>
                <w:b/>
                <w:bCs/>
                <w:color w:val="FFFFFF"/>
                <w:sz w:val="20"/>
                <w:szCs w:val="20"/>
              </w:rPr>
              <w:t xml:space="preserve">Data Captured</w:t>
            </w:r>
          </w:p>
        </w:tc>
      </w:tr>
      <w:tr>
        <w:tc>
          <w:tcPr>
            <w:tcW w:type="dxa" w:w="700"/>
          </w:tcPr>
          <w:p>
            <w:r>
              <w:rPr>
                <w:rFonts w:ascii="Arial" w:cs="Arial" w:eastAsia="Arial" w:hAnsi="Arial"/>
                <w:b w:val="false"/>
                <w:bCs w:val="false"/>
                <w:color w:val="000000"/>
                <w:sz w:val="20"/>
                <w:szCs w:val="20"/>
              </w:rPr>
              <w:t xml:space="preserve">1</w:t>
            </w:r>
          </w:p>
        </w:tc>
        <w:tc>
          <w:tcPr>
            <w:tcW w:type="dxa" w:w="2400"/>
          </w:tcPr>
          <w:p>
            <w:r>
              <w:rPr>
                <w:rFonts w:ascii="Arial" w:cs="Arial" w:eastAsia="Arial" w:hAnsi="Arial"/>
                <w:b w:val="false"/>
                <w:bCs w:val="false"/>
                <w:color w:val="000000"/>
                <w:sz w:val="20"/>
                <w:szCs w:val="20"/>
              </w:rPr>
              <w:t xml:space="preserve">Patient Registration</w:t>
            </w:r>
          </w:p>
        </w:tc>
        <w:tc>
          <w:tcPr>
            <w:tcW w:type="dxa" w:w="2650"/>
          </w:tcPr>
          <w:p>
            <w:r>
              <w:rPr>
                <w:rFonts w:ascii="Arial" w:cs="Arial" w:eastAsia="Arial" w:hAnsi="Arial"/>
                <w:b w:val="false"/>
                <w:bCs w:val="false"/>
                <w:color w:val="000000"/>
                <w:sz w:val="20"/>
                <w:szCs w:val="20"/>
              </w:rPr>
              <w:t xml:space="preserve">Patient</w:t>
            </w:r>
          </w:p>
        </w:tc>
        <w:tc>
          <w:tcPr>
            <w:tcW w:type="dxa" w:w="3600"/>
          </w:tcPr>
          <w:p>
            <w:r>
              <w:rPr>
                <w:rFonts w:ascii="Arial" w:cs="Arial" w:eastAsia="Arial" w:hAnsi="Arial"/>
                <w:b w:val="false"/>
                <w:bCs w:val="false"/>
                <w:color w:val="000000"/>
                <w:sz w:val="20"/>
                <w:szCs w:val="20"/>
              </w:rPr>
              <w:t xml:space="preserve">Demographics — name, DOB, address, MRN</w:t>
            </w:r>
          </w:p>
        </w:tc>
      </w:tr>
      <w:tr>
        <w:tc>
          <w:tcPr>
            <w:tcW w:type="dxa" w:w="700"/>
          </w:tcPr>
          <w:p>
            <w:r>
              <w:rPr>
                <w:rFonts w:ascii="Arial" w:cs="Arial" w:eastAsia="Arial" w:hAnsi="Arial"/>
                <w:b w:val="false"/>
                <w:bCs w:val="false"/>
                <w:color w:val="000000"/>
                <w:sz w:val="20"/>
                <w:szCs w:val="20"/>
              </w:rPr>
              <w:t xml:space="preserve">2</w:t>
            </w:r>
          </w:p>
        </w:tc>
        <w:tc>
          <w:tcPr>
            <w:tcW w:type="dxa" w:w="2400"/>
          </w:tcPr>
          <w:p>
            <w:r>
              <w:rPr>
                <w:rFonts w:ascii="Arial" w:cs="Arial" w:eastAsia="Arial" w:hAnsi="Arial"/>
                <w:b w:val="false"/>
                <w:bCs w:val="false"/>
                <w:color w:val="000000"/>
                <w:sz w:val="20"/>
                <w:szCs w:val="20"/>
              </w:rPr>
              <w:t xml:space="preserve">Insurance Verification</w:t>
            </w:r>
          </w:p>
        </w:tc>
        <w:tc>
          <w:tcPr>
            <w:tcW w:type="dxa" w:w="2650"/>
          </w:tcPr>
          <w:p>
            <w:r>
              <w:rPr>
                <w:rFonts w:ascii="Arial" w:cs="Arial" w:eastAsia="Arial" w:hAnsi="Arial"/>
                <w:b w:val="false"/>
                <w:bCs w:val="false"/>
                <w:color w:val="000000"/>
                <w:sz w:val="20"/>
                <w:szCs w:val="20"/>
              </w:rPr>
              <w:t xml:space="preserve">Coverage</w:t>
            </w:r>
          </w:p>
        </w:tc>
        <w:tc>
          <w:tcPr>
            <w:tcW w:type="dxa" w:w="3600"/>
          </w:tcPr>
          <w:p>
            <w:r>
              <w:rPr>
                <w:rFonts w:ascii="Arial" w:cs="Arial" w:eastAsia="Arial" w:hAnsi="Arial"/>
                <w:b w:val="false"/>
                <w:bCs w:val="false"/>
                <w:color w:val="000000"/>
                <w:sz w:val="20"/>
                <w:szCs w:val="20"/>
              </w:rPr>
              <w:t xml:space="preserve">Payer, plan, member ID, eligibility</w:t>
            </w:r>
          </w:p>
        </w:tc>
      </w:tr>
      <w:tr>
        <w:tc>
          <w:tcPr>
            <w:tcW w:type="dxa" w:w="700"/>
          </w:tcPr>
          <w:p>
            <w:r>
              <w:rPr>
                <w:rFonts w:ascii="Arial" w:cs="Arial" w:eastAsia="Arial" w:hAnsi="Arial"/>
                <w:b w:val="false"/>
                <w:bCs w:val="false"/>
                <w:color w:val="000000"/>
                <w:sz w:val="20"/>
                <w:szCs w:val="20"/>
              </w:rPr>
              <w:t xml:space="preserve">3</w:t>
            </w:r>
          </w:p>
        </w:tc>
        <w:tc>
          <w:tcPr>
            <w:tcW w:type="dxa" w:w="2400"/>
          </w:tcPr>
          <w:p>
            <w:r>
              <w:rPr>
                <w:rFonts w:ascii="Arial" w:cs="Arial" w:eastAsia="Arial" w:hAnsi="Arial"/>
                <w:b w:val="false"/>
                <w:bCs w:val="false"/>
                <w:color w:val="000000"/>
                <w:sz w:val="20"/>
                <w:szCs w:val="20"/>
              </w:rPr>
              <w:t xml:space="preserve">Provider Assignment</w:t>
            </w:r>
          </w:p>
        </w:tc>
        <w:tc>
          <w:tcPr>
            <w:tcW w:type="dxa" w:w="2650"/>
          </w:tcPr>
          <w:p>
            <w:r>
              <w:rPr>
                <w:rFonts w:ascii="Arial" w:cs="Arial" w:eastAsia="Arial" w:hAnsi="Arial"/>
                <w:b w:val="false"/>
                <w:bCs w:val="false"/>
                <w:color w:val="000000"/>
                <w:sz w:val="20"/>
                <w:szCs w:val="20"/>
              </w:rPr>
              <w:t xml:space="preserve">Practitioner</w:t>
            </w:r>
          </w:p>
        </w:tc>
        <w:tc>
          <w:tcPr>
            <w:tcW w:type="dxa" w:w="3600"/>
          </w:tcPr>
          <w:p>
            <w:r>
              <w:rPr>
                <w:rFonts w:ascii="Arial" w:cs="Arial" w:eastAsia="Arial" w:hAnsi="Arial"/>
                <w:b w:val="false"/>
                <w:bCs w:val="false"/>
                <w:color w:val="000000"/>
                <w:sz w:val="20"/>
                <w:szCs w:val="20"/>
              </w:rPr>
              <w:t xml:space="preserve">Provider name, NPI, specialty</w:t>
            </w:r>
          </w:p>
        </w:tc>
      </w:tr>
      <w:tr>
        <w:tc>
          <w:tcPr>
            <w:tcW w:type="dxa" w:w="700"/>
          </w:tcPr>
          <w:p>
            <w:r>
              <w:rPr>
                <w:rFonts w:ascii="Arial" w:cs="Arial" w:eastAsia="Arial" w:hAnsi="Arial"/>
                <w:b w:val="false"/>
                <w:bCs w:val="false"/>
                <w:color w:val="000000"/>
                <w:sz w:val="20"/>
                <w:szCs w:val="20"/>
              </w:rPr>
              <w:t xml:space="preserve">4</w:t>
            </w:r>
          </w:p>
        </w:tc>
        <w:tc>
          <w:tcPr>
            <w:tcW w:type="dxa" w:w="2400"/>
          </w:tcPr>
          <w:p>
            <w:r>
              <w:rPr>
                <w:rFonts w:ascii="Arial" w:cs="Arial" w:eastAsia="Arial" w:hAnsi="Arial"/>
                <w:b w:val="false"/>
                <w:bCs w:val="false"/>
                <w:color w:val="000000"/>
                <w:sz w:val="20"/>
                <w:szCs w:val="20"/>
              </w:rPr>
              <w:t xml:space="preserve">Encounter Opened</w:t>
            </w:r>
          </w:p>
        </w:tc>
        <w:tc>
          <w:tcPr>
            <w:tcW w:type="dxa" w:w="2650"/>
          </w:tcPr>
          <w:p>
            <w:r>
              <w:rPr>
                <w:rFonts w:ascii="Arial" w:cs="Arial" w:eastAsia="Arial" w:hAnsi="Arial"/>
                <w:b w:val="false"/>
                <w:bCs w:val="false"/>
                <w:color w:val="000000"/>
                <w:sz w:val="20"/>
                <w:szCs w:val="20"/>
              </w:rPr>
              <w:t xml:space="preserve">Encounter</w:t>
            </w:r>
          </w:p>
        </w:tc>
        <w:tc>
          <w:tcPr>
            <w:tcW w:type="dxa" w:w="3600"/>
          </w:tcPr>
          <w:p>
            <w:r>
              <w:rPr>
                <w:rFonts w:ascii="Arial" w:cs="Arial" w:eastAsia="Arial" w:hAnsi="Arial"/>
                <w:b w:val="false"/>
                <w:bCs w:val="false"/>
                <w:color w:val="000000"/>
                <w:sz w:val="20"/>
                <w:szCs w:val="20"/>
              </w:rPr>
              <w:t xml:space="preserve">Visit date, location, reason for visit</w:t>
            </w:r>
          </w:p>
        </w:tc>
      </w:tr>
      <w:tr>
        <w:tc>
          <w:tcPr>
            <w:tcW w:type="dxa" w:w="700"/>
          </w:tcPr>
          <w:p>
            <w:r>
              <w:rPr>
                <w:rFonts w:ascii="Arial" w:cs="Arial" w:eastAsia="Arial" w:hAnsi="Arial"/>
                <w:b w:val="false"/>
                <w:bCs w:val="false"/>
                <w:color w:val="000000"/>
                <w:sz w:val="20"/>
                <w:szCs w:val="20"/>
              </w:rPr>
              <w:t xml:space="preserve">5</w:t>
            </w:r>
          </w:p>
        </w:tc>
        <w:tc>
          <w:tcPr>
            <w:tcW w:type="dxa" w:w="2400"/>
          </w:tcPr>
          <w:p>
            <w:r>
              <w:rPr>
                <w:rFonts w:ascii="Arial" w:cs="Arial" w:eastAsia="Arial" w:hAnsi="Arial"/>
                <w:b w:val="false"/>
                <w:bCs w:val="false"/>
                <w:color w:val="000000"/>
                <w:sz w:val="20"/>
                <w:szCs w:val="20"/>
              </w:rPr>
              <w:t xml:space="preserve">Clinical Documentation</w:t>
            </w:r>
          </w:p>
        </w:tc>
        <w:tc>
          <w:tcPr>
            <w:tcW w:type="dxa" w:w="2650"/>
          </w:tcPr>
          <w:p>
            <w:r>
              <w:rPr>
                <w:rFonts w:ascii="Arial" w:cs="Arial" w:eastAsia="Arial" w:hAnsi="Arial"/>
                <w:b w:val="false"/>
                <w:bCs w:val="false"/>
                <w:color w:val="000000"/>
                <w:sz w:val="20"/>
                <w:szCs w:val="20"/>
              </w:rPr>
              <w:t xml:space="preserve">Observation</w:t>
            </w:r>
          </w:p>
        </w:tc>
        <w:tc>
          <w:tcPr>
            <w:tcW w:type="dxa" w:w="3600"/>
          </w:tcPr>
          <w:p>
            <w:r>
              <w:rPr>
                <w:rFonts w:ascii="Arial" w:cs="Arial" w:eastAsia="Arial" w:hAnsi="Arial"/>
                <w:b w:val="false"/>
                <w:bCs w:val="false"/>
                <w:color w:val="000000"/>
                <w:sz w:val="20"/>
                <w:szCs w:val="20"/>
              </w:rPr>
              <w:t xml:space="preserve">Diagnoses, vitals, behavioral health assessments</w:t>
            </w:r>
          </w:p>
        </w:tc>
      </w:tr>
      <w:tr>
        <w:tc>
          <w:tcPr>
            <w:tcW w:type="dxa" w:w="700"/>
          </w:tcPr>
          <w:p>
            <w:r>
              <w:rPr>
                <w:rFonts w:ascii="Arial" w:cs="Arial" w:eastAsia="Arial" w:hAnsi="Arial"/>
                <w:b w:val="false"/>
                <w:bCs w:val="false"/>
                <w:color w:val="000000"/>
                <w:sz w:val="20"/>
                <w:szCs w:val="20"/>
              </w:rPr>
              <w:t xml:space="preserve">6</w:t>
            </w:r>
          </w:p>
        </w:tc>
        <w:tc>
          <w:tcPr>
            <w:tcW w:type="dxa" w:w="2400"/>
          </w:tcPr>
          <w:p>
            <w:r>
              <w:rPr>
                <w:rFonts w:ascii="Arial" w:cs="Arial" w:eastAsia="Arial" w:hAnsi="Arial"/>
                <w:b w:val="false"/>
                <w:bCs w:val="false"/>
                <w:color w:val="000000"/>
                <w:sz w:val="20"/>
                <w:szCs w:val="20"/>
              </w:rPr>
              <w:t xml:space="preserve">Claim Generated</w:t>
            </w:r>
          </w:p>
        </w:tc>
        <w:tc>
          <w:tcPr>
            <w:tcW w:type="dxa" w:w="2650"/>
          </w:tcPr>
          <w:p>
            <w:r>
              <w:rPr>
                <w:rFonts w:ascii="Arial" w:cs="Arial" w:eastAsia="Arial" w:hAnsi="Arial"/>
                <w:b w:val="false"/>
                <w:bCs w:val="false"/>
                <w:color w:val="000000"/>
                <w:sz w:val="20"/>
                <w:szCs w:val="20"/>
              </w:rPr>
              <w:t xml:space="preserve">Claim</w:t>
            </w:r>
          </w:p>
        </w:tc>
        <w:tc>
          <w:tcPr>
            <w:tcW w:type="dxa" w:w="3600"/>
          </w:tcPr>
          <w:p>
            <w:r>
              <w:rPr>
                <w:rFonts w:ascii="Arial" w:cs="Arial" w:eastAsia="Arial" w:hAnsi="Arial"/>
                <w:b w:val="false"/>
                <w:bCs w:val="false"/>
                <w:color w:val="000000"/>
                <w:sz w:val="20"/>
                <w:szCs w:val="20"/>
              </w:rPr>
              <w:t xml:space="preserve">Procedures, billed amount, payer routing</w:t>
            </w:r>
          </w:p>
        </w:tc>
      </w:tr>
    </w:tbl>
    <w:p>
      <w:pPr>
        <w:spacing w:before="160"/>
      </w:pPr>
      <w:r>
        <w:rPr>
          <w:sz w:val="20"/>
          <w:szCs w:val="20"/>
        </w:rPr>
        <w:t xml:space="preserve"/>
      </w:r>
    </w:p>
    <w:p>
      <w:pPr>
        <w:pBdr>
          <w:bottom w:val="single" w:color="2E75B6" w:sz="8" w:space="2"/>
        </w:pBdr>
        <w:spacing w:after="100" w:before="200"/>
      </w:pPr>
      <w:r>
        <w:rPr>
          <w:rFonts w:ascii="Arial" w:cs="Arial" w:eastAsia="Arial" w:hAnsi="Arial"/>
          <w:b/>
          <w:bCs/>
          <w:color w:val="1F4E79"/>
          <w:sz w:val="30"/>
          <w:szCs w:val="30"/>
        </w:rPr>
        <w:t xml:space="preserve">HL7 v2 vs. FHIR R4</w:t>
      </w:r>
    </w:p>
    <w:p>
      <w:pPr>
        <w:spacing w:after="100"/>
      </w:pPr>
      <w:r>
        <w:rPr>
          <w:rFonts w:ascii="Arial" w:cs="Arial" w:eastAsia="Arial" w:hAnsi="Arial"/>
          <w:sz w:val="21"/>
          <w:szCs w:val="21"/>
        </w:rPr>
        <w:t xml:space="preserve">Two interoperability standards govern how this data moves between systems (e.g., registration system to EHR to billing system):</w:t>
      </w:r>
    </w:p>
    <w:p>
      <w:pPr>
        <w:pStyle w:val="ListParagraph"/>
        <w:numPr>
          <w:ilvl w:val="0"/>
          <w:numId w:val="2"/>
        </w:numPr>
        <w:spacing w:after="60"/>
      </w:pPr>
      <w:r>
        <w:rPr>
          <w:rFonts w:ascii="Arial" w:cs="Arial" w:eastAsia="Arial" w:hAnsi="Arial"/>
          <w:sz w:val="21"/>
          <w:szCs w:val="21"/>
        </w:rPr>
        <w:t xml:space="preserve">HL7 v2 (legacy, 1987): Pipe-delimited text messages (e.g., ADT, ORM message types). Still widely used for real-time transactional messaging between hospital systems.</w:t>
      </w:r>
    </w:p>
    <w:p>
      <w:pPr>
        <w:pStyle w:val="ListParagraph"/>
        <w:numPr>
          <w:ilvl w:val="0"/>
          <w:numId w:val="2"/>
        </w:numPr>
        <w:spacing w:after="60"/>
      </w:pPr>
      <w:r>
        <w:rPr>
          <w:rFonts w:ascii="Arial" w:cs="Arial" w:eastAsia="Arial" w:hAnsi="Arial"/>
          <w:sz w:val="21"/>
          <w:szCs w:val="21"/>
        </w:rPr>
        <w:t xml:space="preserve">FHIR R4 (modern, 2019): JSON-based, resource-oriented, RESTful API architecture. Easier to read, web-friendly, and the direction the industry is moving for EHR interoperability, including Epic's App Orchard and SMART on FHIR integrations.</w:t>
      </w:r>
    </w:p>
    <w:p>
      <w:pPr>
        <w:pBdr>
          <w:bottom w:val="single" w:color="2E75B6" w:sz="8" w:space="2"/>
        </w:pBdr>
        <w:spacing w:after="100" w:before="200"/>
      </w:pPr>
      <w:r>
        <w:rPr>
          <w:rFonts w:ascii="Arial" w:cs="Arial" w:eastAsia="Arial" w:hAnsi="Arial"/>
          <w:b/>
          <w:bCs/>
          <w:color w:val="1F4E79"/>
          <w:sz w:val="30"/>
          <w:szCs w:val="30"/>
        </w:rPr>
        <w:t xml:space="preserve">FHIR RESOURCE REFERENCING</w:t>
      </w:r>
    </w:p>
    <w:p>
      <w:pPr>
        <w:spacing w:after="100"/>
      </w:pPr>
      <w:r>
        <w:rPr>
          <w:rFonts w:ascii="Arial" w:cs="Arial" w:eastAsia="Arial" w:hAnsi="Arial"/>
          <w:sz w:val="21"/>
          <w:szCs w:val="21"/>
        </w:rPr>
        <w:t xml:space="preserve">FHIR resources connect to each other through reference fields, similar to a foreign key relationship in SQL:</w:t>
      </w:r>
    </w:p>
    <w:p>
      <w:pPr>
        <w:pStyle w:val="ListParagraph"/>
        <w:numPr>
          <w:ilvl w:val="0"/>
          <w:numId w:val="2"/>
        </w:numPr>
        <w:spacing w:after="60"/>
      </w:pPr>
      <w:r>
        <w:rPr>
          <w:rFonts w:ascii="Arial" w:cs="Arial" w:eastAsia="Arial" w:hAnsi="Arial"/>
          <w:sz w:val="21"/>
          <w:szCs w:val="21"/>
        </w:rPr>
        <w:t xml:space="preserve">Encounter.subject references Patient — links the visit to the patient</w:t>
      </w:r>
    </w:p>
    <w:p>
      <w:pPr>
        <w:pStyle w:val="ListParagraph"/>
        <w:numPr>
          <w:ilvl w:val="0"/>
          <w:numId w:val="2"/>
        </w:numPr>
        <w:spacing w:after="60"/>
      </w:pPr>
      <w:r>
        <w:rPr>
          <w:rFonts w:ascii="Arial" w:cs="Arial" w:eastAsia="Arial" w:hAnsi="Arial"/>
          <w:sz w:val="21"/>
          <w:szCs w:val="21"/>
        </w:rPr>
        <w:t xml:space="preserve">Observation.subject references Patient — links clinical findings to the patient</w:t>
      </w:r>
    </w:p>
    <w:p>
      <w:pPr>
        <w:pStyle w:val="ListParagraph"/>
        <w:numPr>
          <w:ilvl w:val="0"/>
          <w:numId w:val="2"/>
        </w:numPr>
        <w:spacing w:after="60"/>
      </w:pPr>
      <w:r>
        <w:rPr>
          <w:rFonts w:ascii="Arial" w:cs="Arial" w:eastAsia="Arial" w:hAnsi="Arial"/>
          <w:sz w:val="21"/>
          <w:szCs w:val="21"/>
        </w:rPr>
        <w:t xml:space="preserve">Claim.patient and Claim.provider reference Patient and Practitioner — links billing to the encounter</w:t>
      </w:r>
    </w:p>
    <w:p>
      <w:pPr>
        <w:spacing w:after="100"/>
      </w:pPr>
      <w:r>
        <w:rPr>
          <w:rFonts w:ascii="Arial" w:cs="Arial" w:eastAsia="Arial" w:hAnsi="Arial"/>
          <w:sz w:val="21"/>
          <w:szCs w:val="21"/>
        </w:rPr>
        <w:t xml:space="preserve">This reference structure was validated using live API calls against the public HAPI FHIR test server (hapi.fhir.org/baseR4), confirming the resource relationships described above.</w:t>
      </w:r>
    </w:p>
    <w:p>
      <w:pPr>
        <w:pBdr>
          <w:bottom w:val="single" w:color="2E75B6" w:sz="8" w:space="2"/>
        </w:pBdr>
        <w:spacing w:after="100" w:before="200"/>
      </w:pPr>
      <w:r>
        <w:rPr>
          <w:rFonts w:ascii="Arial" w:cs="Arial" w:eastAsia="Arial" w:hAnsi="Arial"/>
          <w:b/>
          <w:bCs/>
          <w:color w:val="1F4E79"/>
          <w:sz w:val="30"/>
          <w:szCs w:val="30"/>
        </w:rPr>
        <w:t xml:space="preserve">RELEVANCE TO EHR SYSTEMS ANALYST ROLE</w:t>
      </w:r>
    </w:p>
    <w:p>
      <w:pPr>
        <w:spacing w:after="100"/>
      </w:pPr>
      <w:r>
        <w:rPr>
          <w:rFonts w:ascii="Arial" w:cs="Arial" w:eastAsia="Arial" w:hAnsi="Arial"/>
          <w:sz w:val="21"/>
          <w:szCs w:val="21"/>
        </w:rPr>
        <w:t xml:space="preserve">This system documentation demonstrates core competencies required for EHR Systems Analyst positions, including Epic-based roles:</w:t>
      </w:r>
    </w:p>
    <w:p>
      <w:pPr>
        <w:pStyle w:val="ListParagraph"/>
        <w:numPr>
          <w:ilvl w:val="0"/>
          <w:numId w:val="2"/>
        </w:numPr>
        <w:spacing w:after="60"/>
      </w:pPr>
      <w:r>
        <w:rPr>
          <w:rFonts w:ascii="Arial" w:cs="Arial" w:eastAsia="Arial" w:hAnsi="Arial"/>
          <w:sz w:val="21"/>
          <w:szCs w:val="21"/>
        </w:rPr>
        <w:t xml:space="preserve">Understanding of how clinical encounters generate structured data across multiple interoperability resources</w:t>
      </w:r>
    </w:p>
    <w:p>
      <w:pPr>
        <w:pStyle w:val="ListParagraph"/>
        <w:numPr>
          <w:ilvl w:val="0"/>
          <w:numId w:val="2"/>
        </w:numPr>
        <w:spacing w:after="60"/>
      </w:pPr>
      <w:r>
        <w:rPr>
          <w:rFonts w:ascii="Arial" w:cs="Arial" w:eastAsia="Arial" w:hAnsi="Arial"/>
          <w:sz w:val="21"/>
          <w:szCs w:val="21"/>
        </w:rPr>
        <w:t xml:space="preserve">Ability to map business/billing requirements (RCM) to underlying technical data structures (FHIR)</w:t>
      </w:r>
    </w:p>
    <w:p>
      <w:pPr>
        <w:pStyle w:val="ListParagraph"/>
        <w:numPr>
          <w:ilvl w:val="0"/>
          <w:numId w:val="2"/>
        </w:numPr>
        <w:spacing w:after="60"/>
      </w:pPr>
      <w:r>
        <w:rPr>
          <w:rFonts w:ascii="Arial" w:cs="Arial" w:eastAsia="Arial" w:hAnsi="Arial"/>
          <w:sz w:val="21"/>
          <w:szCs w:val="21"/>
        </w:rPr>
        <w:t xml:space="preserve">Familiarity with both legacy (HL7 v2) and modern (FHIR R4) interoperability standards used across EHR platforms</w:t>
      </w:r>
    </w:p>
    <w:p>
      <w:pPr>
        <w:pStyle w:val="ListParagraph"/>
        <w:numPr>
          <w:ilvl w:val="0"/>
          <w:numId w:val="2"/>
        </w:numPr>
        <w:spacing w:after="60"/>
      </w:pPr>
      <w:r>
        <w:rPr>
          <w:rFonts w:ascii="Arial" w:cs="Arial" w:eastAsia="Arial" w:hAnsi="Arial"/>
          <w:sz w:val="21"/>
          <w:szCs w:val="21"/>
        </w:rPr>
        <w:t xml:space="preserve">Experience validating system behavior through direct API testing</w:t>
      </w:r>
    </w:p>
    <w:p>
      <w:pPr>
        <w:pBdr>
          <w:bottom w:val="single" w:color="2E75B6" w:sz="8" w:space="2"/>
        </w:pBdr>
        <w:spacing w:after="100" w:before="200"/>
      </w:pPr>
      <w:r>
        <w:rPr>
          <w:rFonts w:ascii="Arial" w:cs="Arial" w:eastAsia="Arial" w:hAnsi="Arial"/>
          <w:b/>
          <w:bCs/>
          <w:color w:val="1F4E79"/>
          <w:sz w:val="30"/>
          <w:szCs w:val="30"/>
        </w:rPr>
        <w:t xml:space="preserve">TOOLS &amp; REFERENCES</w:t>
      </w:r>
    </w:p>
    <w:p>
      <w:pPr>
        <w:pStyle w:val="ListParagraph"/>
        <w:numPr>
          <w:ilvl w:val="0"/>
          <w:numId w:val="2"/>
        </w:numPr>
        <w:spacing w:after="60"/>
      </w:pPr>
      <w:r>
        <w:rPr>
          <w:rFonts w:ascii="Arial" w:cs="Arial" w:eastAsia="Arial" w:hAnsi="Arial"/>
          <w:sz w:val="21"/>
          <w:szCs w:val="21"/>
        </w:rPr>
        <w:t xml:space="preserve">HAPI FHIR Public Test Server — hapi.fhir.org/baseR4</w:t>
      </w:r>
    </w:p>
    <w:p>
      <w:pPr>
        <w:pStyle w:val="ListParagraph"/>
        <w:numPr>
          <w:ilvl w:val="0"/>
          <w:numId w:val="2"/>
        </w:numPr>
        <w:spacing w:after="60"/>
      </w:pPr>
      <w:r>
        <w:rPr>
          <w:rFonts w:ascii="Arial" w:cs="Arial" w:eastAsia="Arial" w:hAnsi="Arial"/>
          <w:sz w:val="21"/>
          <w:szCs w:val="21"/>
        </w:rPr>
        <w:t xml:space="preserve">FHIR R4 Specification — hl7.org/fhir/R4</w:t>
      </w:r>
    </w:p>
    <w:p>
      <w:pPr>
        <w:pStyle w:val="ListParagraph"/>
        <w:numPr>
          <w:ilvl w:val="0"/>
          <w:numId w:val="2"/>
        </w:numPr>
        <w:spacing w:after="60"/>
      </w:pPr>
      <w:r>
        <w:rPr>
          <w:rFonts w:ascii="Arial" w:cs="Arial" w:eastAsia="Arial" w:hAnsi="Arial"/>
          <w:sz w:val="21"/>
          <w:szCs w:val="21"/>
        </w:rPr>
        <w:t xml:space="preserve">Data Flow Diagram — FHIR_Data_Flow.png (see project portfolio)</w:t>
      </w:r>
    </w:p>
    <w:p>
      <w:pPr>
        <w:pStyle w:val="ListParagraph"/>
        <w:numPr>
          <w:ilvl w:val="0"/>
          <w:numId w:val="2"/>
        </w:numPr>
        <w:spacing w:after="60"/>
      </w:pPr>
      <w:r>
        <w:rPr>
          <w:rFonts w:ascii="Arial" w:cs="Arial" w:eastAsia="Arial" w:hAnsi="Arial"/>
          <w:sz w:val="21"/>
          <w:szCs w:val="21"/>
        </w:rPr>
        <w:t xml:space="preserve">Portfolio: github.com/armellenjinkeu2-hue/njinks-sql</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2026-07-06T03:12:10.919Z</dcterms:created>
  <dcterms:modified xsi:type="dcterms:W3CDTF">2026-07-06T03:12:10.920Z</dcterms:modified>
</cp:coreProperties>
</file>

<file path=docProps/custom.xml><?xml version="1.0" encoding="utf-8"?>
<Properties xmlns="http://schemas.openxmlformats.org/officeDocument/2006/custom-properties" xmlns:vt="http://schemas.openxmlformats.org/officeDocument/2006/docPropsVTypes"/>
</file>