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Garamond" w:cs="Garamond" w:eastAsia="Garamond" w:hAnsi="Garamond"/>
          <w:color w:val="262626"/>
          <w:sz w:val="36"/>
          <w:szCs w:val="36"/>
          <w:rtl w:val="0"/>
        </w:rPr>
        <w:br w:type="textWrapping"/>
        <w:br w:type="textWrapping"/>
        <w:br w:type="textWrapping"/>
      </w:r>
      <w:r w:rsidDel="00000000" w:rsidR="00000000" w:rsidRPr="00000000">
        <w:rPr>
          <w:rtl w:val="0"/>
        </w:rPr>
      </w:r>
    </w:p>
    <w:p w:rsidR="00000000" w:rsidDel="00000000" w:rsidP="00000000" w:rsidRDefault="00000000" w:rsidRPr="00000000" w14:paraId="00000002">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160" w:line="360" w:lineRule="auto"/>
        <w:rPr>
          <w:rFonts w:ascii="Arial" w:cs="Arial" w:eastAsia="Arial" w:hAnsi="Arial"/>
          <w:b w:val="1"/>
          <w:bCs w:val="1"/>
          <w:sz w:val="72"/>
          <w:szCs w:val="72"/>
        </w:rPr>
      </w:pPr>
      <w:r w:rsidDel="00000000" w:rsidR="00000000" w:rsidRPr="00000000">
        <w:rPr>
          <w:rFonts w:ascii="Arial" w:cs="Arial" w:eastAsia="Arial" w:hAnsi="Arial"/>
          <w:b w:val="1"/>
          <w:bCs w:val="1"/>
          <w:sz w:val="72"/>
          <w:szCs w:val="72"/>
          <w:rtl w:val="0"/>
        </w:rPr>
        <w:t xml:space="preserve">House Prices</w:t>
      </w:r>
    </w:p>
    <w:p w:rsidR="00000000" w:rsidDel="00000000" w:rsidP="00000000" w:rsidRDefault="00000000" w:rsidRPr="00000000" w14:paraId="00000005">
      <w:pPr>
        <w:spacing w:after="160" w:line="360" w:lineRule="auto"/>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Predict the sales price for each house.</w:t>
      </w:r>
    </w:p>
    <w:p w:rsidR="00000000" w:rsidDel="00000000" w:rsidP="00000000" w:rsidRDefault="00000000" w:rsidRPr="00000000" w14:paraId="00000006">
      <w:pPr>
        <w:spacing w:after="160" w:line="259" w:lineRule="auto"/>
        <w:rPr>
          <w:rFonts w:ascii="Red Hat Display" w:cs="Red Hat Display" w:eastAsia="Red Hat Display" w:hAnsi="Red Hat Display"/>
          <w:sz w:val="64"/>
          <w:szCs w:val="64"/>
        </w:rPr>
      </w:pPr>
      <w:r w:rsidDel="00000000" w:rsidR="00000000" w:rsidRPr="00000000">
        <w:rPr>
          <w:rtl w:val="0"/>
        </w:rPr>
      </w:r>
    </w:p>
    <w:p w:rsidR="00000000" w:rsidDel="00000000" w:rsidP="00000000" w:rsidRDefault="00000000" w:rsidRPr="00000000" w14:paraId="00000007">
      <w:pPr>
        <w:spacing w:after="160" w:line="259" w:lineRule="auto"/>
        <w:rPr>
          <w:rFonts w:ascii="Times New Roman" w:cs="Times New Roman" w:eastAsia="Times New Roman" w:hAnsi="Times New Roman"/>
        </w:rPr>
      </w:pPr>
      <w:r w:rsidDel="00000000" w:rsidR="00000000" w:rsidRPr="00000000">
        <w:rPr>
          <w:rFonts w:ascii="Red Hat Display" w:cs="Red Hat Display" w:eastAsia="Red Hat Display" w:hAnsi="Red Hat Display"/>
          <w:sz w:val="64"/>
          <w:szCs w:val="64"/>
          <w:rtl w:val="0"/>
        </w:rPr>
        <w:t xml:space="preserve">Data Programming</w:t>
      </w:r>
      <w:r w:rsidDel="00000000" w:rsidR="00000000" w:rsidRPr="00000000">
        <w:rPr>
          <w:rtl w:val="0"/>
        </w:rPr>
      </w:r>
    </w:p>
    <w:p w:rsidR="00000000" w:rsidDel="00000000" w:rsidP="00000000" w:rsidRDefault="00000000" w:rsidRPr="00000000" w14:paraId="00000008">
      <w:pPr>
        <w:spacing w:after="160" w:line="259"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4657725</wp:posOffset>
            </wp:positionH>
            <wp:positionV relativeFrom="paragraph">
              <wp:posOffset>184942</wp:posOffset>
            </wp:positionV>
            <wp:extent cx="1568450" cy="13906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68450" cy="1390650"/>
                    </a:xfrm>
                    <a:prstGeom prst="rect"/>
                    <a:ln/>
                  </pic:spPr>
                </pic:pic>
              </a:graphicData>
            </a:graphic>
          </wp:anchor>
        </w:drawing>
      </w:r>
    </w:p>
    <w:p w:rsidR="00000000" w:rsidDel="00000000" w:rsidP="00000000" w:rsidRDefault="00000000" w:rsidRPr="00000000" w14:paraId="00000009">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tabs>
          <w:tab w:val="left" w:leader="none" w:pos="8025"/>
        </w:tabs>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Profesor:                                                                                                                 Student(s):</w:t>
      </w:r>
    </w:p>
    <w:p w:rsidR="00000000" w:rsidDel="00000000" w:rsidP="00000000" w:rsidRDefault="00000000" w:rsidRPr="00000000" w14:paraId="00000011">
      <w:pPr>
        <w:tabs>
          <w:tab w:val="left" w:leader="none" w:pos="8025"/>
        </w:tabs>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Asst. Prof. Dr. Gezim Sejdiu                                                                               Viona Paqarizi</w:t>
      </w:r>
    </w:p>
    <w:p w:rsidR="00000000" w:rsidDel="00000000" w:rsidP="00000000" w:rsidRDefault="00000000" w:rsidRPr="00000000" w14:paraId="00000012">
      <w:pPr>
        <w:tabs>
          <w:tab w:val="left" w:leader="none" w:pos="8025"/>
        </w:tabs>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Brahim Mustafa</w:t>
      </w:r>
    </w:p>
    <w:p w:rsidR="00000000" w:rsidDel="00000000" w:rsidP="00000000" w:rsidRDefault="00000000" w:rsidRPr="00000000" w14:paraId="00000013">
      <w:pPr>
        <w:tabs>
          <w:tab w:val="left" w:leader="none" w:pos="8025"/>
        </w:tabs>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Oriola Arifi</w:t>
      </w:r>
    </w:p>
    <w:p w:rsidR="00000000" w:rsidDel="00000000" w:rsidP="00000000" w:rsidRDefault="00000000" w:rsidRPr="00000000" w14:paraId="00000014">
      <w:pPr>
        <w:tabs>
          <w:tab w:val="left" w:leader="none" w:pos="8025"/>
        </w:tabs>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Armend Shala</w:t>
      </w:r>
    </w:p>
    <w:p w:rsidR="00000000" w:rsidDel="00000000" w:rsidP="00000000" w:rsidRDefault="00000000" w:rsidRPr="00000000" w14:paraId="00000015">
      <w:pPr>
        <w:tabs>
          <w:tab w:val="left" w:leader="none" w:pos="8025"/>
        </w:tabs>
        <w:spacing w:after="160" w:line="259" w:lineRule="auto"/>
        <w:jc w:val="center"/>
        <w:rPr>
          <w:rFonts w:ascii="Garamond" w:cs="Garamond" w:eastAsia="Garamond" w:hAnsi="Garamond"/>
          <w:color w:val="262626"/>
          <w:sz w:val="36"/>
          <w:szCs w:val="36"/>
        </w:rPr>
      </w:pPr>
      <w:r w:rsidDel="00000000" w:rsidR="00000000" w:rsidRPr="00000000">
        <w:rPr>
          <w:rFonts w:ascii="Times New Roman" w:cs="Times New Roman" w:eastAsia="Times New Roman" w:hAnsi="Times New Roman"/>
          <w:rtl w:val="0"/>
        </w:rPr>
        <w:t xml:space="preserve">Prishtinë, Dec 2025</w:t>
      </w:r>
      <w:r w:rsidDel="00000000" w:rsidR="00000000" w:rsidRPr="00000000">
        <w:rPr>
          <w:rtl w:val="0"/>
        </w:rPr>
      </w:r>
    </w:p>
    <w:p w:rsidR="00000000" w:rsidDel="00000000" w:rsidP="00000000" w:rsidRDefault="00000000" w:rsidRPr="00000000" w14:paraId="00000016">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17">
      <w:pPr>
        <w:rPr>
          <w:rFonts w:ascii="Garamond" w:cs="Garamond" w:eastAsia="Garamond" w:hAnsi="Garamond"/>
          <w:b w:val="1"/>
          <w:bCs w:val="1"/>
          <w:color w:val="262626"/>
        </w:rPr>
      </w:pPr>
      <w:r w:rsidDel="00000000" w:rsidR="00000000" w:rsidRPr="00000000">
        <w:rPr>
          <w:rtl w:val="0"/>
        </w:rPr>
      </w:r>
    </w:p>
    <w:p w:rsidR="00000000" w:rsidDel="00000000" w:rsidP="00000000" w:rsidRDefault="00000000" w:rsidRPr="00000000" w14:paraId="00000018">
      <w:pPr>
        <w:rPr>
          <w:rFonts w:ascii="Garamond" w:cs="Garamond" w:eastAsia="Garamond" w:hAnsi="Garamond"/>
          <w:b w:val="1"/>
          <w:bCs w:val="1"/>
          <w:color w:val="262626"/>
        </w:rPr>
      </w:pPr>
      <w:r w:rsidDel="00000000" w:rsidR="00000000" w:rsidRPr="00000000">
        <w:rPr>
          <w:rFonts w:ascii="Garamond" w:cs="Garamond" w:eastAsia="Garamond" w:hAnsi="Garamond"/>
          <w:b w:val="1"/>
          <w:bCs w:val="1"/>
          <w:color w:val="262626"/>
          <w:rtl w:val="0"/>
        </w:rPr>
        <w:t xml:space="preserve">DECLARATION OF AUTHORITY</w:t>
      </w:r>
    </w:p>
    <w:p w:rsidR="00000000" w:rsidDel="00000000" w:rsidP="00000000" w:rsidRDefault="00000000" w:rsidRPr="00000000" w14:paraId="00000019">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By this statement, I Armend Shala, declare that this work is the result of my original work. No part of this work has been obtained from anyone without reference to the accepted standards. This material is conceived and designed based on the sources cited using them and based on the sources cited in the references and in the cited literature.</w:t>
      </w:r>
    </w:p>
    <w:p w:rsidR="00000000" w:rsidDel="00000000" w:rsidP="00000000" w:rsidRDefault="00000000" w:rsidRPr="00000000" w14:paraId="0000001B">
      <w:pPr>
        <w:spacing w:line="360" w:lineRule="auto"/>
        <w:jc w:val="both"/>
        <w:rPr>
          <w:rFonts w:ascii="Times New Roman" w:cs="Times New Roman" w:eastAsia="Times New Roman" w:hAnsi="Times New Roman"/>
          <w:color w:val="262626"/>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It also makes it clear that, to the best of my knowledge, the work does not infringe the rights of any author, in any case. On the contrary, I accept my responsibilities which will be assigned to me by any committee or body that will eventually review any case of complaint or disagreement regarding the content of the paper, and at the same time I agree to be evaluated according to the regulation and the University statute and copyright law.</w:t>
      </w:r>
    </w:p>
    <w:p w:rsidR="00000000" w:rsidDel="00000000" w:rsidP="00000000" w:rsidRDefault="00000000" w:rsidRPr="00000000" w14:paraId="0000001D">
      <w:pPr>
        <w:jc w:val="both"/>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1E">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1F">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20">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21">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22">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23">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24">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25">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26">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27">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28">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29">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2A">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2B">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2C">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2D">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2E">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2F">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30">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31">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32">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33">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34">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35">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36">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37">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38">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39">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3A">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3B">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3C">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3D">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3E">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3F">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40">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41">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42">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43">
      <w:pPr>
        <w:rPr>
          <w:rFonts w:ascii="Garamond" w:cs="Garamond" w:eastAsia="Garamond" w:hAnsi="Garamond"/>
          <w:color w:val="262626"/>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TABLE OF CONTENTS</w:t>
      </w:r>
    </w:p>
    <w:p w:rsidR="00000000" w:rsidDel="00000000" w:rsidP="00000000" w:rsidRDefault="00000000" w:rsidRPr="00000000" w14:paraId="00000045">
      <w:pPr>
        <w:rPr/>
      </w:pPr>
      <w:r w:rsidDel="00000000" w:rsidR="00000000" w:rsidRPr="00000000">
        <w:rPr>
          <w:rtl w:val="0"/>
        </w:rPr>
      </w:r>
    </w:p>
    <w:sdt>
      <w:sdtPr>
        <w:id w:val="-1239795106"/>
        <w:docPartObj>
          <w:docPartGallery w:val="Table of Contents"/>
          <w:docPartUnique w:val="1"/>
        </w:docPartObj>
      </w:sdtPr>
      <w:sdtContent>
        <w:p w:rsidR="00000000" w:rsidDel="00000000" w:rsidP="00000000" w:rsidRDefault="00000000" w:rsidRPr="00000000" w14:paraId="0000004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r483f8lovau">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hfsjoh3ogvb">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APPROACH</w:t>
              <w:tab/>
              <w:t xml:space="preserve">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o4mlmnkkpa3">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RESULTS</w:t>
              <w:tab/>
              <w:t xml:space="preserve">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20bp02wqc6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PROJECT TIMELINE</w:t>
              <w:tab/>
              <w:t xml:space="preserve">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bxivf1ih6rh">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CONCLUSIONS AND RECOMMENDATIONS</w:t>
              <w:tab/>
              <w:t xml:space="preserve">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pex41nrjnpb">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REFERENCES</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sectPr>
          <w:headerReference r:id="rId7" w:type="default"/>
          <w:footerReference r:id="rId8" w:type="default"/>
          <w:pgSz w:h="16834" w:w="11909" w:orient="portrait"/>
          <w:pgMar w:bottom="1138" w:top="558" w:left="1440" w:right="1440" w:header="0" w:footer="450"/>
          <w:pgNumType w:start="1"/>
        </w:sect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pr483f8lovau" w:id="0"/>
      <w:bookmarkEnd w:id="0"/>
      <w:r w:rsidDel="00000000" w:rsidR="00000000" w:rsidRPr="00000000">
        <w:rPr>
          <w:rtl w:val="0"/>
        </w:rPr>
        <w:t xml:space="preserve">INTRODUCTION</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focuses on predicting residential house sale prices using the Ames Housing dataset (the well-known Kaggle “House Prices – Advanced Regression Techniques” problem). The goal is to learn a regression function that maps a rich set of property attributes—location, lot size, quality/condition, living area, basement and garage information, and sale timing—to the final sale price.</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price prediction is a practical data science task because it requires handling mixed data types (numeric + categorical), substantial missingness in “optional” property attributes (e.g., fireplaces, alleys, pools), and careful evaluation with appropriate metrics. The project emphasizes end-to-end data preparation, feature engineering, and model selection to obtain a strong generalization performance.</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1"/>
        <w:rPr/>
      </w:pPr>
      <w:bookmarkStart w:colFirst="0" w:colLast="0" w:name="_dhfsjoh3ogvb" w:id="1"/>
      <w:bookmarkEnd w:id="1"/>
      <w:r w:rsidDel="00000000" w:rsidR="00000000" w:rsidRPr="00000000">
        <w:rPr>
          <w:rtl w:val="0"/>
        </w:rPr>
        <w:t xml:space="preserve">APPROACH</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w:t>
      </w:r>
      <w:r w:rsidDel="00000000" w:rsidR="00000000" w:rsidRPr="00000000">
        <w:rPr>
          <w:rFonts w:ascii="Times New Roman" w:cs="Times New Roman" w:eastAsia="Times New Roman" w:hAnsi="Times New Roman"/>
          <w:rtl w:val="0"/>
        </w:rPr>
        <w:t xml:space="preserve"> Ames Housing training set (1,460 rows) with a separate test set (1,459 rows) used to generate a Kaggle-style submission. The target variable is </w:t>
      </w:r>
      <w:r w:rsidDel="00000000" w:rsidR="00000000" w:rsidRPr="00000000">
        <w:rPr>
          <w:rFonts w:ascii="Times New Roman" w:cs="Times New Roman" w:eastAsia="Times New Roman" w:hAnsi="Times New Roman"/>
          <w:b w:val="1"/>
          <w:bCs w:val="1"/>
          <w:rtl w:val="0"/>
        </w:rPr>
        <w:t xml:space="preserve">SalePrice</w:t>
      </w:r>
      <w:r w:rsidDel="00000000" w:rsidR="00000000" w:rsidRPr="00000000">
        <w:rPr>
          <w:rFonts w:ascii="Times New Roman" w:cs="Times New Roman" w:eastAsia="Times New Roman" w:hAnsi="Times New Roman"/>
          <w:rtl w:val="0"/>
        </w:rPr>
        <w:t xml:space="preserve">, which is highly right-skewed; therefore, we model </w:t>
      </w:r>
      <w:r w:rsidDel="00000000" w:rsidR="00000000" w:rsidRPr="00000000">
        <w:rPr>
          <w:rFonts w:ascii="Times New Roman" w:cs="Times New Roman" w:eastAsia="Times New Roman" w:hAnsi="Times New Roman"/>
          <w:b w:val="1"/>
          <w:bCs w:val="1"/>
          <w:rtl w:val="0"/>
        </w:rPr>
        <w:t xml:space="preserve">log1p(SalePrice)</w:t>
      </w:r>
      <w:r w:rsidDel="00000000" w:rsidR="00000000" w:rsidRPr="00000000">
        <w:rPr>
          <w:rFonts w:ascii="Times New Roman" w:cs="Times New Roman" w:eastAsia="Times New Roman" w:hAnsi="Times New Roman"/>
          <w:rtl w:val="0"/>
        </w:rPr>
        <w:t xml:space="preserve"> and convert predictions back with </w:t>
      </w:r>
      <w:r w:rsidDel="00000000" w:rsidR="00000000" w:rsidRPr="00000000">
        <w:rPr>
          <w:rFonts w:ascii="Times New Roman" w:cs="Times New Roman" w:eastAsia="Times New Roman" w:hAnsi="Times New Roman"/>
          <w:b w:val="1"/>
          <w:bCs w:val="1"/>
          <w:rtl w:val="0"/>
        </w:rPr>
        <w:t xml:space="preserve">expm1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cleaning &amp; feature engineering:</w:t>
      </w:r>
    </w:p>
    <w:p w:rsidR="00000000" w:rsidDel="00000000" w:rsidP="00000000" w:rsidRDefault="00000000" w:rsidRPr="00000000" w14:paraId="0000006B">
      <w:pPr>
        <w:numPr>
          <w:ilvl w:val="0"/>
          <w:numId w:val="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identifier columns (Id) and dropped very sparse optional fields (e.g., PoolQC, Fence, MiscFeature, and Alley when appropriate).</w:t>
      </w:r>
    </w:p>
    <w:p w:rsidR="00000000" w:rsidDel="00000000" w:rsidP="00000000" w:rsidRDefault="00000000" w:rsidRPr="00000000" w14:paraId="0000006C">
      <w:pPr>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Treated “missing means none” categories explicitly (e.g., FireplaceQu, basement quality/finish fields, and garage-related fields).</w:t>
      </w:r>
    </w:p>
    <w:p w:rsidR="00000000" w:rsidDel="00000000" w:rsidP="00000000" w:rsidRDefault="00000000" w:rsidRPr="00000000" w14:paraId="0000006D">
      <w:pPr>
        <w:numPr>
          <w:ilvl w:val="0"/>
          <w:numId w:val="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rtl w:val="0"/>
        </w:rPr>
        <w:t xml:space="preserve">Created indicator features such as </w:t>
      </w:r>
      <w:r w:rsidDel="00000000" w:rsidR="00000000" w:rsidRPr="00000000">
        <w:rPr>
          <w:rFonts w:ascii="Times New Roman" w:cs="Times New Roman" w:eastAsia="Times New Roman" w:hAnsi="Times New Roman"/>
          <w:b w:val="1"/>
          <w:bCs w:val="1"/>
          <w:rtl w:val="0"/>
        </w:rPr>
        <w:t xml:space="preserve">HasGarage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GarageYrBltMissing</w:t>
      </w:r>
      <w:r w:rsidDel="00000000" w:rsidR="00000000" w:rsidRPr="00000000">
        <w:rPr>
          <w:rFonts w:ascii="Times New Roman" w:cs="Times New Roman" w:eastAsia="Times New Roman" w:hAnsi="Times New Roman"/>
          <w:rtl w:val="0"/>
        </w:rPr>
        <w:t xml:space="preserve"> to preserve information encoded by missingness.</w:t>
      </w:r>
    </w:p>
    <w:p w:rsidR="00000000" w:rsidDel="00000000" w:rsidP="00000000" w:rsidRDefault="00000000" w:rsidRPr="00000000" w14:paraId="0000006E">
      <w:pPr>
        <w:numPr>
          <w:ilvl w:val="0"/>
          <w:numId w:val="1"/>
        </w:numPr>
        <w:spacing w:after="240" w:before="0" w:beforeAutospacing="0" w:line="360" w:lineRule="auto"/>
        <w:ind w:left="720" w:hanging="360"/>
      </w:pPr>
      <w:r w:rsidDel="00000000" w:rsidR="00000000" w:rsidRPr="00000000">
        <w:rPr>
          <w:rFonts w:ascii="Times New Roman" w:cs="Times New Roman" w:eastAsia="Times New Roman" w:hAnsi="Times New Roman"/>
          <w:rtl w:val="0"/>
        </w:rPr>
        <w:t xml:space="preserve">Filled numeric basement area/bath fields with 0 when the basement is absent, and used mode-based imputation for categorical fields such as </w:t>
      </w:r>
      <w:r w:rsidDel="00000000" w:rsidR="00000000" w:rsidRPr="00000000">
        <w:rPr>
          <w:rFonts w:ascii="Times New Roman" w:cs="Times New Roman" w:eastAsia="Times New Roman" w:hAnsi="Times New Roman"/>
          <w:b w:val="1"/>
          <w:bCs w:val="1"/>
          <w:rtl w:val="0"/>
        </w:rPr>
        <w:t xml:space="preserve">MSZoning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Electrical</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Categorical encoding:</w:t>
      </w:r>
      <w:r w:rsidDel="00000000" w:rsidR="00000000" w:rsidRPr="00000000">
        <w:rPr>
          <w:rFonts w:ascii="Times New Roman" w:cs="Times New Roman" w:eastAsia="Times New Roman" w:hAnsi="Times New Roman"/>
          <w:rtl w:val="0"/>
        </w:rPr>
        <w:t xml:space="preserve"> selected categorical columns were one-hot encoded using </w:t>
      </w:r>
      <w:r w:rsidDel="00000000" w:rsidR="00000000" w:rsidRPr="00000000">
        <w:rPr>
          <w:rFonts w:ascii="Times New Roman" w:cs="Times New Roman" w:eastAsia="Times New Roman" w:hAnsi="Times New Roman"/>
          <w:color w:val="188038"/>
          <w:rtl w:val="0"/>
        </w:rPr>
        <w:t xml:space="preserve">pandas.get_dummies(drop_first=True)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spacing w:after="240" w:before="240" w:line="360" w:lineRule="auto"/>
        <w:jc w:val="both"/>
        <w:rPr>
          <w:b w:val="1"/>
          <w:bCs w:val="1"/>
        </w:rPr>
      </w:pPr>
      <w:r w:rsidDel="00000000" w:rsidR="00000000" w:rsidRPr="00000000">
        <w:rPr>
          <w:rFonts w:ascii="Times New Roman" w:cs="Times New Roman" w:eastAsia="Times New Roman" w:hAnsi="Times New Roman"/>
          <w:b w:val="1"/>
          <w:bCs w:val="1"/>
          <w:rtl w:val="0"/>
        </w:rPr>
        <w:t xml:space="preserve">Modeling:</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b w:val="1"/>
          <w:bCs w:val="1"/>
          <w:rtl w:val="0"/>
        </w:rPr>
        <w:t xml:space="preserve">GradientBoostingRegressor</w:t>
      </w:r>
      <w:r w:rsidDel="00000000" w:rsidR="00000000" w:rsidRPr="00000000">
        <w:rPr>
          <w:rFonts w:ascii="Times New Roman" w:cs="Times New Roman" w:eastAsia="Times New Roman" w:hAnsi="Times New Roman"/>
          <w:rtl w:val="0"/>
        </w:rPr>
        <w:t xml:space="preserve"> was trained within a preprocessing/estimation pipeline and tuned using </w:t>
      </w:r>
      <w:r w:rsidDel="00000000" w:rsidR="00000000" w:rsidRPr="00000000">
        <w:rPr>
          <w:rFonts w:ascii="Times New Roman" w:cs="Times New Roman" w:eastAsia="Times New Roman" w:hAnsi="Times New Roman"/>
          <w:b w:val="1"/>
          <w:bCs w:val="1"/>
          <w:rtl w:val="0"/>
        </w:rPr>
        <w:t xml:space="preserve">GridSearchCV (5-fold CV)</w:t>
      </w:r>
      <w:r w:rsidDel="00000000" w:rsidR="00000000" w:rsidRPr="00000000">
        <w:rPr>
          <w:rFonts w:ascii="Times New Roman" w:cs="Times New Roman" w:eastAsia="Times New Roman" w:hAnsi="Times New Roman"/>
          <w:rtl w:val="0"/>
        </w:rPr>
        <w:t xml:space="preserve">. The final model was fit on the full training set and used to generate a submission file.</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bookmarkStart w:colFirst="0" w:colLast="0" w:name="_go4mlmnkkpa3" w:id="2"/>
      <w:bookmarkEnd w:id="2"/>
      <w:r w:rsidDel="00000000" w:rsidR="00000000" w:rsidRPr="00000000">
        <w:rPr>
          <w:rtl w:val="0"/>
        </w:rPr>
        <w:t xml:space="preserve">RESULTS</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Cross-validation:</w:t>
      </w:r>
      <w:r w:rsidDel="00000000" w:rsidR="00000000" w:rsidRPr="00000000">
        <w:rPr>
          <w:rFonts w:ascii="Times New Roman" w:cs="Times New Roman" w:eastAsia="Times New Roman" w:hAnsi="Times New Roman"/>
          <w:rtl w:val="0"/>
        </w:rPr>
        <w:t xml:space="preserve"> the best 5-fold CV score achieved an </w:t>
      </w:r>
      <w:r w:rsidDel="00000000" w:rsidR="00000000" w:rsidRPr="00000000">
        <w:rPr>
          <w:rFonts w:ascii="Times New Roman" w:cs="Times New Roman" w:eastAsia="Times New Roman" w:hAnsi="Times New Roman"/>
          <w:b w:val="1"/>
          <w:bCs w:val="1"/>
          <w:rtl w:val="0"/>
        </w:rPr>
        <w:t xml:space="preserve">RMSE of 0.1270</w:t>
      </w:r>
      <w:r w:rsidDel="00000000" w:rsidR="00000000" w:rsidRPr="00000000">
        <w:rPr>
          <w:rFonts w:ascii="Times New Roman" w:cs="Times New Roman" w:eastAsia="Times New Roman" w:hAnsi="Times New Roman"/>
          <w:rtl w:val="0"/>
        </w:rPr>
        <w:t xml:space="preserve"> on the log-transformed target, using Gradient Boosting with:</w:t>
      </w:r>
    </w:p>
    <w:p w:rsidR="00000000" w:rsidDel="00000000" w:rsidP="00000000" w:rsidRDefault="00000000" w:rsidRPr="00000000" w14:paraId="00000074">
      <w:pPr>
        <w:numPr>
          <w:ilvl w:val="0"/>
          <w:numId w:val="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learning_rate=0.01</w:t>
      </w:r>
    </w:p>
    <w:p w:rsidR="00000000" w:rsidDel="00000000" w:rsidP="00000000" w:rsidRDefault="00000000" w:rsidRPr="00000000" w14:paraId="00000075">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max_depth=3</w:t>
      </w:r>
    </w:p>
    <w:p w:rsidR="00000000" w:rsidDel="00000000" w:rsidP="00000000" w:rsidRDefault="00000000" w:rsidRPr="00000000" w14:paraId="00000076">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min_samples_leaf=5</w:t>
      </w:r>
    </w:p>
    <w:p w:rsidR="00000000" w:rsidDel="00000000" w:rsidP="00000000" w:rsidRDefault="00000000" w:rsidRPr="00000000" w14:paraId="00000077">
      <w:pPr>
        <w:numPr>
          <w:ilvl w:val="0"/>
          <w:numId w:val="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n_estimators=800</w:t>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Hold-out validation:</w:t>
      </w:r>
      <w:r w:rsidDel="00000000" w:rsidR="00000000" w:rsidRPr="00000000">
        <w:rPr>
          <w:rFonts w:ascii="Times New Roman" w:cs="Times New Roman" w:eastAsia="Times New Roman" w:hAnsi="Times New Roman"/>
          <w:rtl w:val="0"/>
        </w:rPr>
        <w:t xml:space="preserve"> an 80/20 split showed strong agreement between predicted and actual log-prices and relatively centered residuals (included as plots in the DOCX).</w:t>
      </w:r>
    </w:p>
    <w:p w:rsidR="00000000" w:rsidDel="00000000" w:rsidP="00000000" w:rsidRDefault="00000000" w:rsidRPr="00000000" w14:paraId="00000079">
      <w:pPr>
        <w:spacing w:after="240" w:before="240" w:line="360" w:lineRule="auto"/>
        <w:jc w:val="both"/>
        <w:rPr/>
      </w:pPr>
      <w:r w:rsidDel="00000000" w:rsidR="00000000" w:rsidRPr="00000000">
        <w:rPr>
          <w:rFonts w:ascii="Times New Roman" w:cs="Times New Roman" w:eastAsia="Times New Roman" w:hAnsi="Times New Roman"/>
          <w:b w:val="1"/>
          <w:bCs w:val="1"/>
          <w:rtl w:val="0"/>
        </w:rPr>
        <w:t xml:space="preserve">Exploratory findings (high-level):</w:t>
      </w:r>
      <w:r w:rsidDel="00000000" w:rsidR="00000000" w:rsidRPr="00000000">
        <w:rPr>
          <w:rFonts w:ascii="Times New Roman" w:cs="Times New Roman" w:eastAsia="Times New Roman" w:hAnsi="Times New Roman"/>
          <w:rtl w:val="0"/>
        </w:rPr>
        <w:t xml:space="preserve"> SalePrice increases with stronger quality/condition indicators and larger living areas; lot-related variables show weaker/noisier relationships and include outliers. Handling missingness for optional features (fireplaces, garages, basements) is important for stable modeling.</w:t>
      </w: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pStyle w:val="Heading1"/>
        <w:rPr/>
      </w:pPr>
      <w:bookmarkStart w:colFirst="0" w:colLast="0" w:name="_q20bp02wqc6r" w:id="3"/>
      <w:bookmarkEnd w:id="3"/>
      <w:r w:rsidDel="00000000" w:rsidR="00000000" w:rsidRPr="00000000">
        <w:rPr>
          <w:rtl w:val="0"/>
        </w:rPr>
        <w:t xml:space="preserve">PROJECT TIMELINE</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plan (example):</w:t>
      </w:r>
    </w:p>
    <w:p w:rsidR="00000000" w:rsidDel="00000000" w:rsidP="00000000" w:rsidRDefault="00000000" w:rsidRPr="00000000" w14:paraId="0000007D">
      <w:pPr>
        <w:numPr>
          <w:ilvl w:val="0"/>
          <w:numId w:val="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 Dataset familiarization, baseline EDA, and target distribution analysis. Missing-value audit and domain-informed imputations (“None” vs 0 vs mode/median).</w:t>
      </w:r>
    </w:p>
    <w:p w:rsidR="00000000" w:rsidDel="00000000" w:rsidP="00000000" w:rsidRDefault="00000000" w:rsidRPr="00000000" w14:paraId="0000007E">
      <w:pPr>
        <w:numPr>
          <w:ilvl w:val="0"/>
          <w:numId w:val="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2: Feature engineering, categorical encoding strategy, baseline regression model. Cross-validation setup, hyperparameter tuning, and error analysis.</w:t>
      </w:r>
    </w:p>
    <w:p w:rsidR="00000000" w:rsidDel="00000000" w:rsidP="00000000" w:rsidRDefault="00000000" w:rsidRPr="00000000" w14:paraId="0000007F">
      <w:pPr>
        <w:numPr>
          <w:ilvl w:val="0"/>
          <w:numId w:val="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3: Model refinement, diagnostics (predicted vs actual, residual plots), and submission generation.</w:t>
      </w:r>
    </w:p>
    <w:p w:rsidR="00000000" w:rsidDel="00000000" w:rsidP="00000000" w:rsidRDefault="00000000" w:rsidRPr="00000000" w14:paraId="00000080">
      <w:pPr>
        <w:numPr>
          <w:ilvl w:val="0"/>
          <w:numId w:val="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4: Report writing, final checks, and recommendations for future improvements.</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pStyle w:val="Heading1"/>
        <w:rPr/>
      </w:pPr>
      <w:bookmarkStart w:colFirst="0" w:colLast="0" w:name="_3bxivf1ih6rh" w:id="4"/>
      <w:bookmarkEnd w:id="4"/>
      <w:r w:rsidDel="00000000" w:rsidR="00000000" w:rsidRPr="00000000">
        <w:rPr>
          <w:rtl w:val="0"/>
        </w:rPr>
        <w:t xml:space="preserve">CONCLUSIONS AND RECOMMENDATIONS</w:t>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Gradient Boosting model, trained on a cleaned and encoded Ames Housing dataset with log-transformed SalePrice, achieved a solid cross-validated RMSE and produced a complete submission for the test set.</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work: try XGBoost/LightGBM/CatBoost, add systematic feature selection and interactions, handle outliers more robustly, and broaden hyperparameter searches (ideally with nested CV).</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bookmarkStart w:colFirst="0" w:colLast="0" w:name="_3pex41nrjnpb" w:id="5"/>
      <w:bookmarkEnd w:id="5"/>
      <w:r w:rsidDel="00000000" w:rsidR="00000000" w:rsidRPr="00000000">
        <w:rPr>
          <w:rtl w:val="0"/>
        </w:rPr>
        <w:t xml:space="preserve">REFERENCES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[1] Kaggle. “House Prices – Advanced Regression Techniques (Ames Housing).”</w:t>
      </w:r>
    </w:p>
    <w:p w:rsidR="00000000" w:rsidDel="00000000" w:rsidP="00000000" w:rsidRDefault="00000000" w:rsidRPr="00000000" w14:paraId="0000008B">
      <w:pPr>
        <w:jc w:val="both"/>
        <w:rPr/>
      </w:pPr>
      <w:r w:rsidDel="00000000" w:rsidR="00000000" w:rsidRPr="00000000">
        <w:rPr>
          <w:rtl w:val="0"/>
        </w:rPr>
        <w:t xml:space="preserve">[2] Pedregosa et al. Scikit-learn: Machine Learning in Python. JMLR, 2011 + scikit-learn docs (GradientBoostingRegressor, GridSearchCV).</w:t>
      </w:r>
    </w:p>
    <w:p w:rsidR="00000000" w:rsidDel="00000000" w:rsidP="00000000" w:rsidRDefault="00000000" w:rsidRPr="00000000" w14:paraId="0000008C">
      <w:pPr>
        <w:jc w:val="both"/>
        <w:rPr/>
      </w:pPr>
      <w:r w:rsidDel="00000000" w:rsidR="00000000" w:rsidRPr="00000000">
        <w:rPr>
          <w:rtl w:val="0"/>
        </w:rPr>
        <w:t xml:space="preserve">[3] Jens Lehmann et al. “Distributed Semantic Analytics using the SANSA Stack.” ISWC Resources Track, 2017.</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footerReference r:id="rId9" w:type="default"/>
      <w:type w:val="nextPage"/>
      <w:pgSz w:h="16834" w:w="11909" w:orient="portrait"/>
      <w:pgMar w:bottom="1138" w:top="558" w:left="1440" w:right="1440" w:header="0" w:footer="4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ed Hat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b w:val="0"/>
        <w:bCs w:val="0"/>
        <w:i w:val="0"/>
        <w:iCs w:val="0"/>
        <w:smallCaps w:val="0"/>
        <w:strike w:val="0"/>
        <w:color w:val="000000"/>
        <w:sz w:val="11"/>
        <w:szCs w:val="1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www.universum-ks.org</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tabs>
        <w:tab w:val="center" w:leader="none" w:pos="4680"/>
        <w:tab w:val="right" w:leader="none" w:pos="9360"/>
      </w:tabs>
      <w:jc w:val="center"/>
      <w:rPr/>
    </w:pPr>
    <w:r w:rsidDel="00000000" w:rsidR="00000000" w:rsidRPr="00000000">
      <w:rPr>
        <w:rFonts w:ascii="Garamond" w:cs="Garamond" w:eastAsia="Garamond" w:hAnsi="Garamond"/>
        <w:sz w:val="22"/>
        <w:szCs w:val="22"/>
        <w:rtl w:val="0"/>
      </w:rPr>
      <w:t xml:space="preserve">                                                                www.universum-ks.org                                                          </w:t>
    </w:r>
    <w:r w:rsidDel="00000000" w:rsidR="00000000" w:rsidRPr="00000000">
      <w:rPr>
        <w:rFonts w:ascii="Garamond" w:cs="Garamond" w:eastAsia="Garamond" w:hAnsi="Garamond"/>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144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1446375</wp:posOffset>
          </wp:positionH>
          <wp:positionV relativeFrom="paragraph">
            <wp:posOffset>19050</wp:posOffset>
          </wp:positionV>
          <wp:extent cx="2841788" cy="831743"/>
          <wp:effectExtent b="0" l="0" r="0" t="0"/>
          <wp:wrapTopAndBottom distB="0" dist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841788" cy="83174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sq-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RedHatDisplay-regular.ttf"/><Relationship Id="rId6" Type="http://schemas.openxmlformats.org/officeDocument/2006/relationships/font" Target="fonts/RedHatDisplay-bold.ttf"/><Relationship Id="rId7" Type="http://schemas.openxmlformats.org/officeDocument/2006/relationships/font" Target="fonts/RedHatDisplay-italic.ttf"/><Relationship Id="rId8" Type="http://schemas.openxmlformats.org/officeDocument/2006/relationships/font" Target="fonts/RedHatDisplay-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