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119EA6" w14:textId="77777777" w:rsidR="008005BC" w:rsidRDefault="008005BC" w:rsidP="008005BC">
      <w:pPr>
        <w:pStyle w:val="Heading2"/>
        <w:numPr>
          <w:ilvl w:val="0"/>
          <w:numId w:val="5"/>
        </w:numPr>
        <w:ind w:left="720"/>
      </w:pPr>
      <w:r w:rsidRPr="006438BA">
        <w:t>Colorado River</w:t>
      </w:r>
    </w:p>
    <w:p w14:paraId="57003A25" w14:textId="2E7C8EB8" w:rsidR="008005BC" w:rsidRPr="00CE3DCB" w:rsidRDefault="008005BC" w:rsidP="008005BC">
      <w:pPr>
        <w:pStyle w:val="Heading1"/>
      </w:pPr>
      <w:r>
        <w:t>Background</w:t>
      </w:r>
    </w:p>
    <w:p w14:paraId="3EC37063" w14:textId="77777777" w:rsidR="008005BC" w:rsidRDefault="008005BC" w:rsidP="008005BC">
      <w:r>
        <w:t xml:space="preserve">Colorado river is governed by two treaties: </w:t>
      </w:r>
      <w:r w:rsidRPr="00580B16">
        <w:t>1922 Colorado River Compact</w:t>
      </w:r>
      <w:r>
        <w:t xml:space="preserve"> (Law of the river)</w:t>
      </w:r>
      <w:r w:rsidRPr="00580B16">
        <w:t xml:space="preserve"> and the 1944 Treaty between the United States and Mexico</w:t>
      </w:r>
      <w:r>
        <w:t xml:space="preserve">. </w:t>
      </w:r>
      <w:r w:rsidRPr="00CE3DCB">
        <w:t>The compact divided the Colorado River into two sections: the Lower Basin, which includes Arizona, Nevada, and California, and the Upper Basin, which includes Colorado, New Mexico, Utah, Wyoming, and Arizona.</w:t>
      </w:r>
      <w:r>
        <w:t xml:space="preserve"> Each basin gets 7.5 </w:t>
      </w:r>
      <w:proofErr w:type="spellStart"/>
      <w:r>
        <w:t>maf</w:t>
      </w:r>
      <w:proofErr w:type="spellEnd"/>
      <w:r>
        <w:t xml:space="preserve">/yr of consumptive use. Mexico gets 1.5 </w:t>
      </w:r>
      <w:proofErr w:type="spellStart"/>
      <w:r>
        <w:t>maf</w:t>
      </w:r>
      <w:proofErr w:type="spellEnd"/>
      <w:r>
        <w:t xml:space="preserve">/yr </w:t>
      </w:r>
      <w:r w:rsidRPr="002742AB">
        <w:t xml:space="preserve">plus an additional 200,000 </w:t>
      </w:r>
      <w:proofErr w:type="spellStart"/>
      <w:r w:rsidRPr="002742AB">
        <w:t>af</w:t>
      </w:r>
      <w:proofErr w:type="spellEnd"/>
      <w:r w:rsidRPr="002742AB">
        <w:t xml:space="preserve"> when a surplus is declared</w:t>
      </w:r>
      <w:r>
        <w:t xml:space="preserve">. Thus, annual total consumptive use of 16.5 </w:t>
      </w:r>
      <w:proofErr w:type="spellStart"/>
      <w:r>
        <w:t>maf</w:t>
      </w:r>
      <w:proofErr w:type="spellEnd"/>
      <w:r>
        <w:t xml:space="preserve">/yr is allocated. </w:t>
      </w:r>
      <w:r w:rsidRPr="00580B16">
        <w:t>The Compact also required the Upper Basin not to deplete the river’s flow to less than 75 MAF during any 10 consecutive years</w:t>
      </w:r>
      <w:r>
        <w:t>.</w:t>
      </w:r>
    </w:p>
    <w:p w14:paraId="6ABB62B9" w14:textId="77777777" w:rsidR="008005BC" w:rsidRDefault="008005BC" w:rsidP="008005BC">
      <w:r>
        <w:t>The 2 largest reservoirs are:</w:t>
      </w:r>
    </w:p>
    <w:p w14:paraId="31C74E77" w14:textId="77777777" w:rsidR="008005BC" w:rsidRDefault="008005BC" w:rsidP="008005BC">
      <w:pPr>
        <w:pStyle w:val="ListParagraph"/>
        <w:numPr>
          <w:ilvl w:val="0"/>
          <w:numId w:val="1"/>
        </w:numPr>
      </w:pPr>
      <w:r>
        <w:t xml:space="preserve">Lake Powell: For Upper Basin users (to </w:t>
      </w:r>
      <w:r w:rsidRPr="00580B16">
        <w:t>avoid violation of the non-depletion obligation</w:t>
      </w:r>
      <w:r>
        <w:t>)</w:t>
      </w:r>
    </w:p>
    <w:p w14:paraId="4619FD5A" w14:textId="77777777" w:rsidR="008005BC" w:rsidRDefault="008005BC" w:rsidP="008005BC">
      <w:pPr>
        <w:pStyle w:val="ListParagraph"/>
        <w:numPr>
          <w:ilvl w:val="0"/>
          <w:numId w:val="1"/>
        </w:numPr>
      </w:pPr>
      <w:r w:rsidRPr="00580B16">
        <w:t>Lake Mead</w:t>
      </w:r>
      <w:r>
        <w:t>/Hoover Dam: For Lower Basin users</w:t>
      </w:r>
    </w:p>
    <w:p w14:paraId="6E194287" w14:textId="77777777" w:rsidR="008005BC" w:rsidRDefault="008005BC" w:rsidP="008005BC">
      <w:r>
        <w:t xml:space="preserve">Lower Basin users and Mexico use all their 9 </w:t>
      </w:r>
      <w:proofErr w:type="spellStart"/>
      <w:r>
        <w:t>maf</w:t>
      </w:r>
      <w:proofErr w:type="spellEnd"/>
      <w:r>
        <w:t xml:space="preserve">/yr </w:t>
      </w:r>
      <w:r w:rsidRPr="002742AB">
        <w:t>apportionment </w:t>
      </w:r>
      <w:r>
        <w:t xml:space="preserve">of the Colorado river whereas </w:t>
      </w:r>
      <w:r w:rsidRPr="002742AB">
        <w:t>Upper Basin consumptive uses averaged 3.7 MAF/year</w:t>
      </w:r>
      <w:r>
        <w:t>.</w:t>
      </w:r>
    </w:p>
    <w:p w14:paraId="5A1A3744" w14:textId="77777777" w:rsidR="008005BC" w:rsidRDefault="008005BC" w:rsidP="008005BC">
      <w:r w:rsidRPr="001C2C6E">
        <w:t xml:space="preserve">In the Lower Basin, Hoover Dam, completed in 1936, provides </w:t>
      </w:r>
      <w:proofErr w:type="gramStart"/>
      <w:r w:rsidRPr="001C2C6E">
        <w:t>the majority of</w:t>
      </w:r>
      <w:proofErr w:type="gramEnd"/>
      <w:r w:rsidRPr="001C2C6E">
        <w:t xml:space="preserve"> the Lower Basin’s storage and generates about 4.2 billion </w:t>
      </w:r>
      <w:proofErr w:type="spellStart"/>
      <w:r w:rsidRPr="001C2C6E">
        <w:t>KWh</w:t>
      </w:r>
      <w:proofErr w:type="spellEnd"/>
      <w:r w:rsidRPr="001C2C6E">
        <w:t xml:space="preserve"> of electricity per year for customers in California, Arizona, and Nevada.34 Also important for Lower Basin Operations are</w:t>
      </w:r>
      <w:r>
        <w:t>:</w:t>
      </w:r>
    </w:p>
    <w:p w14:paraId="3AC72038" w14:textId="77777777" w:rsidR="008005BC" w:rsidRDefault="008005BC" w:rsidP="008005BC">
      <w:pPr>
        <w:pStyle w:val="ListParagraph"/>
        <w:numPr>
          <w:ilvl w:val="0"/>
          <w:numId w:val="6"/>
        </w:numPr>
      </w:pPr>
      <w:r w:rsidRPr="001C2C6E">
        <w:t xml:space="preserve">Davis Dam/Lake Mohave, which regulates flows to Mexico under the 1944 Treaty, </w:t>
      </w:r>
    </w:p>
    <w:p w14:paraId="042BC922" w14:textId="77777777" w:rsidR="008005BC" w:rsidRDefault="008005BC" w:rsidP="008005BC">
      <w:pPr>
        <w:pStyle w:val="ListParagraph"/>
        <w:numPr>
          <w:ilvl w:val="0"/>
          <w:numId w:val="6"/>
        </w:numPr>
      </w:pPr>
      <w:r w:rsidRPr="001C2C6E">
        <w:t xml:space="preserve">Parker Dam/Lake Havasu, which impounds water for diversion into the Colorado River Aqueduct (thereby allowing for deliveries to urban areas in southern California) and CAP (allowing for diversion to users in Arizona). </w:t>
      </w:r>
    </w:p>
    <w:p w14:paraId="1ECFC717" w14:textId="77777777" w:rsidR="008005BC" w:rsidRDefault="008005BC" w:rsidP="008005BC">
      <w:pPr>
        <w:pStyle w:val="ListParagraph"/>
        <w:numPr>
          <w:ilvl w:val="0"/>
          <w:numId w:val="6"/>
        </w:numPr>
      </w:pPr>
      <w:r w:rsidRPr="001C2C6E">
        <w:t>Imperial Dam (a diversion dam)</w:t>
      </w:r>
      <w:r>
        <w:t>, F</w:t>
      </w:r>
      <w:r w:rsidRPr="001C2C6E">
        <w:t>urther downstream on the Arizona/California border</w:t>
      </w:r>
      <w:r>
        <w:t>,</w:t>
      </w:r>
      <w:r w:rsidRPr="001C2C6E">
        <w:t xml:space="preserve"> diverts Colorado River water to the All American Canal for use in California’s Imperial and Coachella Valleys</w:t>
      </w:r>
      <w:r>
        <w:t xml:space="preserve"> </w:t>
      </w:r>
      <w:r>
        <w:fldChar w:fldCharType="begin"/>
      </w:r>
      <w:r>
        <w:instrText xml:space="preserve"> ADDIN ZOTERO_ITEM CSL_CITATION {"citationID":"g9242ReX","properties":{"formattedCitation":"(Stern et al., n.d.)","plainCitation":"(Stern et al., n.d.)","noteIndex":0},"citationItems":[{"id":38,"uris":["http://zotero.org/users/local/uV6ZLHVO/items/8B4JS8NU"],"itemData":{"id":38,"type":"article-journal","language":"en","source":"Zotero","title":"Management of the Colorado River: Water Allocations, Drought, and the Federal Role","author":[{"family":"Stern","given":"Charles V"},{"family":"Sheikh","given":"Pervaze A"},{"family":"Hite","given":"Kristen"}]}}],"schema":"https://github.com/citation-style-language/schema/raw/master/csl-citation.json"} </w:instrText>
      </w:r>
      <w:r>
        <w:fldChar w:fldCharType="separate"/>
      </w:r>
      <w:r w:rsidRPr="00CE3DCB">
        <w:rPr>
          <w:rFonts w:ascii="Aptos" w:hAnsi="Aptos"/>
        </w:rPr>
        <w:t>(Stern et al., n.d.)</w:t>
      </w:r>
      <w:r>
        <w:fldChar w:fldCharType="end"/>
      </w:r>
      <w:r>
        <w:t>.</w:t>
      </w:r>
    </w:p>
    <w:p w14:paraId="24157780" w14:textId="77777777" w:rsidR="008005BC" w:rsidRDefault="008005BC" w:rsidP="008005BC">
      <w:pPr>
        <w:ind w:left="360"/>
      </w:pPr>
      <w:r>
        <w:t>In the table below, Annual Apportionments for each state in the upper and lower basin are found.</w:t>
      </w:r>
    </w:p>
    <w:p w14:paraId="6696418A" w14:textId="77777777" w:rsidR="008005BC" w:rsidRDefault="008005BC" w:rsidP="008005BC">
      <w:r w:rsidRPr="002742AB">
        <w:rPr>
          <w:noProof/>
        </w:rPr>
        <w:lastRenderedPageBreak/>
        <w:drawing>
          <wp:inline distT="0" distB="0" distL="0" distR="0" wp14:anchorId="6FA6C1A6" wp14:editId="6B5FEF1E">
            <wp:extent cx="5943600" cy="4262120"/>
            <wp:effectExtent l="0" t="0" r="0" b="5080"/>
            <wp:docPr id="292983056"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83056" name="Picture 1" descr="A screenshot of a document&#10;&#10;Description automatically generated"/>
                    <pic:cNvPicPr/>
                  </pic:nvPicPr>
                  <pic:blipFill>
                    <a:blip r:embed="rId6"/>
                    <a:stretch>
                      <a:fillRect/>
                    </a:stretch>
                  </pic:blipFill>
                  <pic:spPr>
                    <a:xfrm>
                      <a:off x="0" y="0"/>
                      <a:ext cx="5943600" cy="4262120"/>
                    </a:xfrm>
                    <a:prstGeom prst="rect">
                      <a:avLst/>
                    </a:prstGeom>
                  </pic:spPr>
                </pic:pic>
              </a:graphicData>
            </a:graphic>
          </wp:inline>
        </w:drawing>
      </w:r>
    </w:p>
    <w:p w14:paraId="72A3CD9D" w14:textId="0B84DA74" w:rsidR="008005BC" w:rsidRPr="008005BC" w:rsidRDefault="008005BC" w:rsidP="008005BC">
      <w:pPr>
        <w:pStyle w:val="Heading1"/>
      </w:pPr>
      <w:r>
        <w:t>Main Agreements</w:t>
      </w:r>
    </w:p>
    <w:p w14:paraId="2C9384F8" w14:textId="77777777" w:rsidR="008005BC" w:rsidRPr="008005BC" w:rsidRDefault="008005BC" w:rsidP="008005BC">
      <w:pPr>
        <w:pStyle w:val="ListParagraph"/>
        <w:numPr>
          <w:ilvl w:val="0"/>
          <w:numId w:val="8"/>
        </w:numPr>
        <w:rPr>
          <w:u w:val="single"/>
        </w:rPr>
      </w:pPr>
      <w:r w:rsidRPr="008005BC">
        <w:rPr>
          <w:u w:val="single"/>
        </w:rPr>
        <w:t>The Colorado River Compact of 1922 - The cornerstone of the "Law of the River”</w:t>
      </w:r>
    </w:p>
    <w:p w14:paraId="3260EC78" w14:textId="77777777" w:rsidR="008005BC" w:rsidRPr="008005BC" w:rsidRDefault="008005BC" w:rsidP="008005BC">
      <w:pPr>
        <w:ind w:firstLine="720"/>
      </w:pPr>
      <w:r w:rsidRPr="008005BC">
        <w:t>First negotiation between upper and lower basin states</w:t>
      </w:r>
    </w:p>
    <w:p w14:paraId="4B5C9148" w14:textId="77777777" w:rsidR="008005BC" w:rsidRPr="008005BC" w:rsidRDefault="008005BC" w:rsidP="008005BC">
      <w:pPr>
        <w:pStyle w:val="ListParagraph"/>
        <w:numPr>
          <w:ilvl w:val="0"/>
          <w:numId w:val="8"/>
        </w:numPr>
        <w:rPr>
          <w:u w:val="single"/>
        </w:rPr>
      </w:pPr>
      <w:r w:rsidRPr="008005BC">
        <w:rPr>
          <w:u w:val="single"/>
        </w:rPr>
        <w:t>The Boulder Canyon Project Act of 1928</w:t>
      </w:r>
    </w:p>
    <w:p w14:paraId="393E6141" w14:textId="77777777" w:rsidR="008005BC" w:rsidRPr="008005BC" w:rsidRDefault="008005BC" w:rsidP="008005BC">
      <w:pPr>
        <w:ind w:firstLine="720"/>
      </w:pPr>
      <w:r w:rsidRPr="008005BC">
        <w:t xml:space="preserve">Apportionment of lower basin's 7.5 </w:t>
      </w:r>
      <w:proofErr w:type="spellStart"/>
      <w:r w:rsidRPr="008005BC">
        <w:t>maf</w:t>
      </w:r>
      <w:proofErr w:type="spellEnd"/>
      <w:r w:rsidRPr="008005BC">
        <w:t xml:space="preserve"> among the states</w:t>
      </w:r>
    </w:p>
    <w:p w14:paraId="2925DC3F" w14:textId="77777777" w:rsidR="008005BC" w:rsidRPr="008005BC" w:rsidRDefault="008005BC" w:rsidP="008005BC">
      <w:pPr>
        <w:pStyle w:val="ListParagraph"/>
        <w:numPr>
          <w:ilvl w:val="0"/>
          <w:numId w:val="8"/>
        </w:numPr>
        <w:rPr>
          <w:u w:val="single"/>
        </w:rPr>
      </w:pPr>
      <w:r w:rsidRPr="008005BC">
        <w:rPr>
          <w:u w:val="single"/>
        </w:rPr>
        <w:t>California Seven Party Agreement of 1931</w:t>
      </w:r>
    </w:p>
    <w:p w14:paraId="7CB16934" w14:textId="04414C14" w:rsidR="008005BC" w:rsidRDefault="008005BC" w:rsidP="008005BC">
      <w:pPr>
        <w:ind w:left="720"/>
      </w:pPr>
      <w:r w:rsidRPr="008005BC">
        <w:t>Settled the long-standing conflict between California agricultural and municipal interests over Colorado River water priorities</w:t>
      </w:r>
      <w:r>
        <w:t>.</w:t>
      </w:r>
    </w:p>
    <w:p w14:paraId="4F5A6621" w14:textId="4259A5FA" w:rsidR="008005BC" w:rsidRDefault="008005BC" w:rsidP="008005BC">
      <w:pPr>
        <w:ind w:left="720"/>
      </w:pPr>
      <w:r>
        <w:t>The priorities are as follow:</w:t>
      </w:r>
    </w:p>
    <w:p w14:paraId="6BD5B9CE" w14:textId="784A242A" w:rsidR="008005BC" w:rsidRPr="008B0C64" w:rsidRDefault="008005BC" w:rsidP="008005BC">
      <w:pPr>
        <w:numPr>
          <w:ilvl w:val="0"/>
          <w:numId w:val="7"/>
        </w:numPr>
        <w:tabs>
          <w:tab w:val="clear" w:pos="1080"/>
          <w:tab w:val="num" w:pos="1440"/>
        </w:tabs>
        <w:ind w:left="1440"/>
      </w:pPr>
      <w:r w:rsidRPr="008B0C64">
        <w:t>Priority 1: Palo Verde Irrigation District 104,500 acres</w:t>
      </w:r>
    </w:p>
    <w:p w14:paraId="0145FF70" w14:textId="1E8B538C" w:rsidR="008005BC" w:rsidRPr="008B0C64" w:rsidRDefault="008005BC" w:rsidP="008005BC">
      <w:pPr>
        <w:numPr>
          <w:ilvl w:val="0"/>
          <w:numId w:val="7"/>
        </w:numPr>
        <w:tabs>
          <w:tab w:val="clear" w:pos="1080"/>
          <w:tab w:val="num" w:pos="1440"/>
        </w:tabs>
        <w:ind w:left="1440"/>
      </w:pPr>
      <w:r w:rsidRPr="008B0C64">
        <w:t>Priority 2:</w:t>
      </w:r>
      <w:r>
        <w:t xml:space="preserve"> </w:t>
      </w:r>
      <w:r w:rsidRPr="008B0C64">
        <w:t>Yuma Project 25,000 acres</w:t>
      </w:r>
    </w:p>
    <w:p w14:paraId="756518DE" w14:textId="77777777" w:rsidR="008005BC" w:rsidRPr="008B0C64" w:rsidRDefault="008005BC" w:rsidP="008005BC">
      <w:pPr>
        <w:numPr>
          <w:ilvl w:val="0"/>
          <w:numId w:val="7"/>
        </w:numPr>
        <w:tabs>
          <w:tab w:val="clear" w:pos="1080"/>
          <w:tab w:val="num" w:pos="1440"/>
        </w:tabs>
        <w:ind w:left="1440"/>
      </w:pPr>
      <w:r w:rsidRPr="008B0C64">
        <w:lastRenderedPageBreak/>
        <w:t xml:space="preserve">Priority 3: </w:t>
      </w:r>
      <w:proofErr w:type="gramStart"/>
      <w:r w:rsidRPr="008B0C64">
        <w:t>3,850,000 acre</w:t>
      </w:r>
      <w:proofErr w:type="gramEnd"/>
      <w:r w:rsidRPr="008B0C64">
        <w:t xml:space="preserve"> feet equal rights (1,2,3a and 3b should not exceed 3,850,000)</w:t>
      </w:r>
    </w:p>
    <w:p w14:paraId="4277EACB" w14:textId="77777777" w:rsidR="008005BC" w:rsidRPr="008B0C64" w:rsidRDefault="008005BC" w:rsidP="008005BC">
      <w:pPr>
        <w:numPr>
          <w:ilvl w:val="1"/>
          <w:numId w:val="7"/>
        </w:numPr>
        <w:tabs>
          <w:tab w:val="clear" w:pos="1800"/>
          <w:tab w:val="num" w:pos="2160"/>
        </w:tabs>
        <w:ind w:left="2160"/>
      </w:pPr>
      <w:r w:rsidRPr="008B0C64">
        <w:t xml:space="preserve">3(a) Imperial Irrigation District and other lands under or that will be served from the </w:t>
      </w:r>
      <w:proofErr w:type="gramStart"/>
      <w:r w:rsidRPr="008B0C64">
        <w:t>All American</w:t>
      </w:r>
      <w:proofErr w:type="gramEnd"/>
      <w:r w:rsidRPr="008B0C64">
        <w:t xml:space="preserve"> Canal in Imperial and Coachella Valleys</w:t>
      </w:r>
    </w:p>
    <w:p w14:paraId="0D775394" w14:textId="77777777" w:rsidR="008005BC" w:rsidRPr="008B0C64" w:rsidRDefault="008005BC" w:rsidP="008005BC">
      <w:pPr>
        <w:numPr>
          <w:ilvl w:val="1"/>
          <w:numId w:val="7"/>
        </w:numPr>
        <w:tabs>
          <w:tab w:val="clear" w:pos="1800"/>
          <w:tab w:val="num" w:pos="2160"/>
        </w:tabs>
        <w:ind w:left="2160"/>
      </w:pPr>
      <w:r w:rsidRPr="008B0C64">
        <w:t>3(b) to Palo Verde Irrigation District for use exclusively on 16,000 acres in that area known as the “Lower Palo Verde Mesa”</w:t>
      </w:r>
    </w:p>
    <w:p w14:paraId="35CE0279" w14:textId="6210EF2F" w:rsidR="008005BC" w:rsidRPr="008B0C64" w:rsidRDefault="008005BC" w:rsidP="008005BC">
      <w:pPr>
        <w:numPr>
          <w:ilvl w:val="0"/>
          <w:numId w:val="7"/>
        </w:numPr>
        <w:tabs>
          <w:tab w:val="clear" w:pos="1080"/>
          <w:tab w:val="num" w:pos="1440"/>
        </w:tabs>
        <w:ind w:left="1440"/>
      </w:pPr>
      <w:r w:rsidRPr="008B0C64">
        <w:t>Priority 4: MWD</w:t>
      </w:r>
      <w:r>
        <w:t xml:space="preserve"> </w:t>
      </w:r>
      <w:r w:rsidRPr="008B0C64">
        <w:t xml:space="preserve">and/or the City of Los Angeles </w:t>
      </w:r>
      <w:proofErr w:type="gramStart"/>
      <w:r w:rsidRPr="008B0C64">
        <w:t>550,000 acre</w:t>
      </w:r>
      <w:proofErr w:type="gramEnd"/>
      <w:r w:rsidRPr="008B0C64">
        <w:t xml:space="preserve"> feet</w:t>
      </w:r>
    </w:p>
    <w:p w14:paraId="3B41AE27" w14:textId="77777777" w:rsidR="008005BC" w:rsidRPr="008B0C64" w:rsidRDefault="008005BC" w:rsidP="008005BC">
      <w:pPr>
        <w:numPr>
          <w:ilvl w:val="0"/>
          <w:numId w:val="7"/>
        </w:numPr>
        <w:tabs>
          <w:tab w:val="clear" w:pos="1080"/>
          <w:tab w:val="num" w:pos="1440"/>
        </w:tabs>
        <w:ind w:left="1440"/>
      </w:pPr>
      <w:r w:rsidRPr="008B0C64">
        <w:t xml:space="preserve">Priority 5: </w:t>
      </w:r>
    </w:p>
    <w:p w14:paraId="61C2F1F9" w14:textId="77777777" w:rsidR="008005BC" w:rsidRPr="008B0C64" w:rsidRDefault="008005BC" w:rsidP="008005BC">
      <w:pPr>
        <w:numPr>
          <w:ilvl w:val="1"/>
          <w:numId w:val="7"/>
        </w:numPr>
        <w:tabs>
          <w:tab w:val="clear" w:pos="1800"/>
          <w:tab w:val="num" w:pos="2160"/>
        </w:tabs>
        <w:ind w:left="2160"/>
      </w:pPr>
      <w:r w:rsidRPr="008B0C64">
        <w:t>(a) MWD and/or the City of Los Angeles, with an additional entitlement of 550,000 acre-feet</w:t>
      </w:r>
    </w:p>
    <w:p w14:paraId="0EC9B534" w14:textId="77777777" w:rsidR="008005BC" w:rsidRPr="008B0C64" w:rsidRDefault="008005BC" w:rsidP="008005BC">
      <w:pPr>
        <w:numPr>
          <w:ilvl w:val="1"/>
          <w:numId w:val="7"/>
        </w:numPr>
        <w:tabs>
          <w:tab w:val="clear" w:pos="1800"/>
          <w:tab w:val="num" w:pos="2160"/>
        </w:tabs>
        <w:ind w:left="2160"/>
      </w:pPr>
      <w:r w:rsidRPr="008B0C64">
        <w:t>(b) The City of San Diego and/or County of San Diego, with an entitlement of 112,000 acre-feet annually. These two rights are equal in priority.</w:t>
      </w:r>
    </w:p>
    <w:p w14:paraId="6B3933E6" w14:textId="77777777" w:rsidR="008005BC" w:rsidRPr="008B0C64" w:rsidRDefault="008005BC" w:rsidP="008005BC">
      <w:pPr>
        <w:numPr>
          <w:ilvl w:val="0"/>
          <w:numId w:val="7"/>
        </w:numPr>
        <w:tabs>
          <w:tab w:val="clear" w:pos="1080"/>
          <w:tab w:val="num" w:pos="1440"/>
        </w:tabs>
        <w:ind w:left="1440"/>
      </w:pPr>
      <w:r w:rsidRPr="008B0C64">
        <w:t xml:space="preserve">Priority 6: 300,000 acre-feet </w:t>
      </w:r>
    </w:p>
    <w:p w14:paraId="0C88FE9C" w14:textId="77777777" w:rsidR="008005BC" w:rsidRPr="008B0C64" w:rsidRDefault="008005BC" w:rsidP="008005BC">
      <w:pPr>
        <w:numPr>
          <w:ilvl w:val="0"/>
          <w:numId w:val="7"/>
        </w:numPr>
        <w:tabs>
          <w:tab w:val="clear" w:pos="1080"/>
          <w:tab w:val="num" w:pos="1440"/>
        </w:tabs>
        <w:ind w:left="1440"/>
      </w:pPr>
      <w:r w:rsidRPr="008B0C64">
        <w:t xml:space="preserve">(a) IID and other lands served by the </w:t>
      </w:r>
      <w:proofErr w:type="gramStart"/>
      <w:r w:rsidRPr="008B0C64">
        <w:t>All American</w:t>
      </w:r>
      <w:proofErr w:type="gramEnd"/>
      <w:r w:rsidRPr="008B0C64">
        <w:t xml:space="preserve"> Canal in Imperial and Coachella Valleys</w:t>
      </w:r>
    </w:p>
    <w:p w14:paraId="7E9C6A7A" w14:textId="77777777" w:rsidR="008005BC" w:rsidRPr="008B0C64" w:rsidRDefault="008005BC" w:rsidP="008005BC">
      <w:pPr>
        <w:numPr>
          <w:ilvl w:val="0"/>
          <w:numId w:val="7"/>
        </w:numPr>
        <w:tabs>
          <w:tab w:val="clear" w:pos="1080"/>
          <w:tab w:val="num" w:pos="1440"/>
        </w:tabs>
        <w:ind w:left="1440"/>
      </w:pPr>
      <w:r w:rsidRPr="008B0C64">
        <w:t>(b) Palo Verde Irrigation District for use on 16,000 acres in the Lower Palo Verde Mesa area</w:t>
      </w:r>
    </w:p>
    <w:p w14:paraId="15758EE1" w14:textId="03795FB9" w:rsidR="008005BC" w:rsidRDefault="008005BC" w:rsidP="008005BC">
      <w:pPr>
        <w:numPr>
          <w:ilvl w:val="0"/>
          <w:numId w:val="7"/>
        </w:numPr>
        <w:tabs>
          <w:tab w:val="clear" w:pos="1080"/>
          <w:tab w:val="num" w:pos="1440"/>
        </w:tabs>
        <w:ind w:left="1440"/>
      </w:pPr>
      <w:r w:rsidRPr="008B0C64">
        <w:t>Priority 7: Any remaining water for agricultural use within the Colorado River Basin in California</w:t>
      </w:r>
    </w:p>
    <w:p w14:paraId="59F6FA8B" w14:textId="77777777" w:rsidR="008005BC" w:rsidRPr="008005BC" w:rsidRDefault="008005BC" w:rsidP="008005BC">
      <w:pPr>
        <w:pStyle w:val="ListParagraph"/>
        <w:numPr>
          <w:ilvl w:val="0"/>
          <w:numId w:val="8"/>
        </w:numPr>
        <w:rPr>
          <w:u w:val="single"/>
        </w:rPr>
      </w:pPr>
      <w:r w:rsidRPr="008005BC">
        <w:rPr>
          <w:u w:val="single"/>
        </w:rPr>
        <w:t>Quantification settlement agreement 2003</w:t>
      </w:r>
    </w:p>
    <w:p w14:paraId="72F69829" w14:textId="77777777" w:rsidR="008005BC" w:rsidRDefault="008005BC" w:rsidP="008005BC">
      <w:r w:rsidRPr="00956636">
        <w:t>Prior to the 2003 finalization of the QSA, California had been using approximately 5.2 MAF of Colorado River on average each year (with most of its excess water use attributed to urban areas). Under the QSA, which is an agreement between several California water districts and DOI, California agreed to reduce its use to the required 4.4 MAF under the Law of the River</w:t>
      </w:r>
      <w:r>
        <w:t xml:space="preserve"> </w:t>
      </w:r>
      <w:r>
        <w:fldChar w:fldCharType="begin"/>
      </w:r>
      <w:r>
        <w:instrText xml:space="preserve"> ADDIN ZOTERO_ITEM CSL_CITATION {"citationID":"Kydqi3cG","properties":{"formattedCitation":"(Stern et al., n.d.)","plainCitation":"(Stern et al., n.d.)","noteIndex":0},"citationItems":[{"id":38,"uris":["http://zotero.org/users/local/uV6ZLHVO/items/8B4JS8NU"],"itemData":{"id":38,"type":"article-journal","language":"en","source":"Zotero","title":"Management of the Colorado River: Water Allocations, Drought, and the Federal Role","author":[{"family":"Stern","given":"Charles V"},{"family":"Sheikh","given":"Pervaze A"},{"family":"Hite","given":"Kristen"}]}}],"schema":"https://github.com/citation-style-language/schema/raw/master/csl-citation.json"} </w:instrText>
      </w:r>
      <w:r>
        <w:fldChar w:fldCharType="separate"/>
      </w:r>
      <w:r w:rsidRPr="00956636">
        <w:rPr>
          <w:rFonts w:ascii="Aptos" w:hAnsi="Aptos"/>
        </w:rPr>
        <w:t>(Stern et al., n.d.)</w:t>
      </w:r>
      <w:r>
        <w:fldChar w:fldCharType="end"/>
      </w:r>
    </w:p>
    <w:p w14:paraId="79384BC9" w14:textId="42ED005B" w:rsidR="008005BC" w:rsidRDefault="008005BC" w:rsidP="008005BC">
      <w:r>
        <w:t>This agreement</w:t>
      </w:r>
      <w:r>
        <w:t xml:space="preserve"> </w:t>
      </w:r>
      <w:r w:rsidRPr="009D6531">
        <w:t>defined the rights to a portion of Colorado River water for</w:t>
      </w:r>
      <w:r>
        <w:t>:</w:t>
      </w:r>
      <w:r w:rsidRPr="009D6531">
        <w:t xml:space="preserve"> </w:t>
      </w:r>
    </w:p>
    <w:p w14:paraId="7FC057A0" w14:textId="77777777" w:rsidR="008005BC" w:rsidRDefault="008005BC" w:rsidP="008005BC">
      <w:pPr>
        <w:pStyle w:val="ListParagraph"/>
        <w:numPr>
          <w:ilvl w:val="0"/>
          <w:numId w:val="2"/>
        </w:numPr>
      </w:pPr>
      <w:r w:rsidRPr="009D6531">
        <w:t>San Diego County Water Authority</w:t>
      </w:r>
    </w:p>
    <w:p w14:paraId="10EE8DD6" w14:textId="77777777" w:rsidR="008005BC" w:rsidRDefault="008005BC" w:rsidP="008005BC">
      <w:pPr>
        <w:pStyle w:val="ListParagraph"/>
        <w:numPr>
          <w:ilvl w:val="0"/>
          <w:numId w:val="2"/>
        </w:numPr>
      </w:pPr>
      <w:r w:rsidRPr="009D6531">
        <w:t>Coachella Valley Water District</w:t>
      </w:r>
    </w:p>
    <w:p w14:paraId="2AC41632" w14:textId="77777777" w:rsidR="008005BC" w:rsidRDefault="008005BC" w:rsidP="008005BC">
      <w:pPr>
        <w:pStyle w:val="ListParagraph"/>
        <w:numPr>
          <w:ilvl w:val="0"/>
          <w:numId w:val="2"/>
        </w:numPr>
      </w:pPr>
      <w:r w:rsidRPr="009D6531">
        <w:t xml:space="preserve">Imperial Irrigation District </w:t>
      </w:r>
    </w:p>
    <w:p w14:paraId="3F9452A2" w14:textId="77777777" w:rsidR="008005BC" w:rsidRDefault="008005BC" w:rsidP="008005BC">
      <w:pPr>
        <w:pStyle w:val="ListParagraph"/>
        <w:numPr>
          <w:ilvl w:val="0"/>
          <w:numId w:val="2"/>
        </w:numPr>
      </w:pPr>
      <w:r w:rsidRPr="009D6531">
        <w:t>Metropolitan Water District of Southern California</w:t>
      </w:r>
    </w:p>
    <w:p w14:paraId="3832DBDB" w14:textId="77777777" w:rsidR="008005BC" w:rsidRDefault="008005BC" w:rsidP="008005BC">
      <w:r>
        <w:lastRenderedPageBreak/>
        <w:t>The Quantification Settlement Agreement confirmed:</w:t>
      </w:r>
    </w:p>
    <w:p w14:paraId="12293395" w14:textId="77777777" w:rsidR="008005BC" w:rsidRDefault="008005BC" w:rsidP="008005BC">
      <w:pPr>
        <w:pStyle w:val="ListParagraph"/>
        <w:numPr>
          <w:ilvl w:val="0"/>
          <w:numId w:val="3"/>
        </w:numPr>
      </w:pPr>
      <w:r>
        <w:t>the Imperial Irrigation District’s Colorado River annual allotment at 3.1 million acre-feet</w:t>
      </w:r>
    </w:p>
    <w:p w14:paraId="51AC987F" w14:textId="77777777" w:rsidR="008005BC" w:rsidRDefault="008005BC" w:rsidP="008005BC">
      <w:pPr>
        <w:pStyle w:val="ListParagraph"/>
        <w:numPr>
          <w:ilvl w:val="0"/>
          <w:numId w:val="3"/>
        </w:numPr>
      </w:pPr>
      <w:r>
        <w:t>the Coachella Valley Water District’s Colorado River annual allotment at 330,000 acre-feet</w:t>
      </w:r>
    </w:p>
    <w:p w14:paraId="656310E8" w14:textId="77777777" w:rsidR="008005BC" w:rsidRDefault="008005BC" w:rsidP="008005BC">
      <w:r>
        <w:t>The Quantification Settlement Agreement also established:</w:t>
      </w:r>
    </w:p>
    <w:p w14:paraId="248C8D25" w14:textId="77777777" w:rsidR="008005BC" w:rsidRDefault="008005BC" w:rsidP="008005BC">
      <w:pPr>
        <w:pStyle w:val="ListParagraph"/>
        <w:numPr>
          <w:ilvl w:val="0"/>
          <w:numId w:val="4"/>
        </w:numPr>
      </w:pPr>
      <w:r>
        <w:t>the IID-San Diego County Water Authority water transfer</w:t>
      </w:r>
    </w:p>
    <w:p w14:paraId="3F0F7765" w14:textId="77777777" w:rsidR="008005BC" w:rsidRDefault="008005BC" w:rsidP="008005BC">
      <w:pPr>
        <w:pStyle w:val="ListParagraph"/>
        <w:numPr>
          <w:ilvl w:val="0"/>
          <w:numId w:val="4"/>
        </w:numPr>
      </w:pPr>
      <w:r>
        <w:t>A transfer of 105,000 acre-feet annually between IID and Metropolitan</w:t>
      </w:r>
    </w:p>
    <w:p w14:paraId="4F6424F3" w14:textId="77777777" w:rsidR="008005BC" w:rsidRDefault="008005BC" w:rsidP="008005BC">
      <w:r>
        <w:t xml:space="preserve">A transfer of as much as 103,000 acre-feet annually between Imperial and the Coachella Valley district </w:t>
      </w:r>
      <w:r>
        <w:fldChar w:fldCharType="begin"/>
      </w:r>
      <w:r>
        <w:instrText xml:space="preserve"> ADDIN ZOTERO_ITEM CSL_CITATION {"citationID":"sd9ZOamj","properties":{"formattedCitation":"({\\i{}Quantification Settlement Agreement}, 2020; San Diego County Water Authority, n.d.)","plainCitation":"(Quantification Settlement Agreement, 2020; San Diego County Water Authority, n.d.)","noteIndex":0},"citationItems":[{"id":39,"uris":["http://zotero.org/users/local/uV6ZLHVO/items/AXGBUKWG"],"itemData":{"id":39,"type":"webpage","abstract":"The Quantification Settlement Agreement (QSA), signed in 2003, defined the rights to a portion of Colorado River water for ...","container-title":"Water Education Foundation","language":"en","title":"Quantification Settlement Agreement","URL":"https://www.watereducation.org/aquapedia/quantification-settlement-agreement","accessed":{"date-parts":[["2024",8,14]]},"issued":{"date-parts":[["2020",6,22]]}}},{"id":41,"uris":["http://zotero.org/users/local/uV6ZLHVO/items/HXEUD8RF"],"itemData":{"id":41,"type":"document","title":"Quantification Settlement Agreement For the Colorado River","URL":"https://www.sdcwa.org/sites/default/files/qsa-fs.pdf","author":[{"family":"San Diego County Water Authority","given":""}]}}],"schema":"https://github.com/citation-style-language/schema/raw/master/csl-citation.json"} </w:instrText>
      </w:r>
      <w:r>
        <w:fldChar w:fldCharType="separate"/>
      </w:r>
      <w:r w:rsidRPr="0083198B">
        <w:rPr>
          <w:rFonts w:ascii="Aptos" w:hAnsi="Aptos" w:cs="Times New Roman"/>
          <w:kern w:val="0"/>
        </w:rPr>
        <w:t>(</w:t>
      </w:r>
      <w:r w:rsidRPr="0083198B">
        <w:rPr>
          <w:rFonts w:ascii="Aptos" w:hAnsi="Aptos" w:cs="Times New Roman"/>
          <w:i/>
          <w:iCs/>
          <w:kern w:val="0"/>
        </w:rPr>
        <w:t>Quantification Settlement Agreement</w:t>
      </w:r>
      <w:r w:rsidRPr="0083198B">
        <w:rPr>
          <w:rFonts w:ascii="Aptos" w:hAnsi="Aptos" w:cs="Times New Roman"/>
          <w:kern w:val="0"/>
        </w:rPr>
        <w:t>, 2020; San Diego County Water Authority, n.d.)</w:t>
      </w:r>
      <w:r>
        <w:fldChar w:fldCharType="end"/>
      </w:r>
    </w:p>
    <w:p w14:paraId="4FEA4E26" w14:textId="77777777" w:rsidR="008005BC" w:rsidRDefault="008005BC" w:rsidP="008005BC">
      <w:r w:rsidRPr="0083198B">
        <w:rPr>
          <w:noProof/>
        </w:rPr>
        <w:drawing>
          <wp:inline distT="0" distB="0" distL="0" distR="0" wp14:anchorId="5A654ECD" wp14:editId="7B8D06E1">
            <wp:extent cx="3639058" cy="3315163"/>
            <wp:effectExtent l="0" t="0" r="0" b="0"/>
            <wp:docPr id="314135416" name="Picture 1" descr="A graph of water suppl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35416" name="Picture 1" descr="A graph of water supply&#10;&#10;Description automatically generated"/>
                    <pic:cNvPicPr/>
                  </pic:nvPicPr>
                  <pic:blipFill>
                    <a:blip r:embed="rId7"/>
                    <a:stretch>
                      <a:fillRect/>
                    </a:stretch>
                  </pic:blipFill>
                  <pic:spPr>
                    <a:xfrm>
                      <a:off x="0" y="0"/>
                      <a:ext cx="3639058" cy="3315163"/>
                    </a:xfrm>
                    <a:prstGeom prst="rect">
                      <a:avLst/>
                    </a:prstGeom>
                  </pic:spPr>
                </pic:pic>
              </a:graphicData>
            </a:graphic>
          </wp:inline>
        </w:drawing>
      </w:r>
    </w:p>
    <w:p w14:paraId="6AC4F9C5" w14:textId="127739FE" w:rsidR="008005BC" w:rsidRDefault="008005BC" w:rsidP="008005BC">
      <w:r w:rsidRPr="00C40C5F">
        <w:t xml:space="preserve">Under the 1931 priority system that has formed the basis for the distribution of Colorado River water made available to California, Metropolitan holds the fourth priority right to 550,000 acre-feet per year. This is the last priority within California’s basic apportionment. In addition, Metropolitan holds the fifth priority right to 662,000 acre-feet of water, which is </w:t>
      </w:r>
      <w:proofErr w:type="gramStart"/>
      <w:r w:rsidRPr="00C40C5F">
        <w:t>in excess of</w:t>
      </w:r>
      <w:proofErr w:type="gramEnd"/>
      <w:r w:rsidRPr="00C40C5F">
        <w:t xml:space="preserve"> California’s basic apportionment. Until 2003, Metropolitan had been able to take full advantage of its fifth priority right </w:t>
      </w:r>
      <w:proofErr w:type="gramStart"/>
      <w:r w:rsidRPr="00C40C5F">
        <w:t>as a result of</w:t>
      </w:r>
      <w:proofErr w:type="gramEnd"/>
      <w:r w:rsidRPr="00C40C5F">
        <w:t xml:space="preserve"> the availability of surplus water and water apportioned to Arizona and Nevada that was not needed by those states. However, </w:t>
      </w:r>
      <w:r w:rsidRPr="00C40C5F">
        <w:lastRenderedPageBreak/>
        <w:t>during the 1990s, Arizona and Nevada increased their use of water from the Colorado River and by 2002 no unused apportionment was available for California</w:t>
      </w:r>
      <w:r>
        <w:t>.</w:t>
      </w:r>
    </w:p>
    <w:p w14:paraId="21AEDEF9" w14:textId="77777777" w:rsidR="008005BC" w:rsidRPr="00C40C5F" w:rsidRDefault="008005BC" w:rsidP="008005BC">
      <w:pPr>
        <w:rPr>
          <w:u w:val="single"/>
        </w:rPr>
      </w:pPr>
      <w:r w:rsidRPr="00C40C5F">
        <w:rPr>
          <w:u w:val="single"/>
        </w:rPr>
        <w:t>Reservoirs in Lower Colorado River Basin</w:t>
      </w:r>
    </w:p>
    <w:p w14:paraId="4CACB938" w14:textId="77777777" w:rsidR="008005BC" w:rsidRDefault="008005BC" w:rsidP="008005BC">
      <w:r w:rsidRPr="00E44977">
        <w:t>The two largest reservoirs in the Colorado River system, Lake Mead and Lake Powell</w:t>
      </w:r>
      <w:r>
        <w:t>. Lake Powell is for the upper basin and lake mead for the lower basin. The sequence of lower Colorado basin reservoirs/dams is as follows:</w:t>
      </w:r>
    </w:p>
    <w:p w14:paraId="2ECCE076" w14:textId="04CBC80B" w:rsidR="008005BC" w:rsidRDefault="008005BC" w:rsidP="008005BC">
      <w:r>
        <w:t>Hoover Dam/Lake Mead, Davis Dam/Lake Mohave, Parker Dam/Lake Havasu, Palo Verde Diversion Dam, Imperial Dam (Other minor dams have been omitted, more can be found on excel).</w:t>
      </w:r>
    </w:p>
    <w:p w14:paraId="7B88AB52" w14:textId="4C63831D" w:rsidR="008005BC" w:rsidRDefault="008005BC" w:rsidP="008005BC">
      <w:r>
        <w:t xml:space="preserve">Colorado River is experiencing an ongoing drought since 2000 which has led to </w:t>
      </w:r>
      <w:r w:rsidRPr="000922E3">
        <w:t>Lake Mead and Lake Powell reaching their lowest levels</w:t>
      </w:r>
      <w:r>
        <w:t xml:space="preserve"> </w:t>
      </w:r>
      <w:r>
        <w:fldChar w:fldCharType="begin"/>
      </w:r>
      <w:r>
        <w:instrText xml:space="preserve"> ADDIN ZOTERO_ITEM CSL_CITATION {"citationID":"lMwGQyHd","properties":{"formattedCitation":"(\\uc0\\u8220{}Megadrought in Southwestern North America Is Region\\uc0\\u8217{}s Driest in at Least 1,200 Years,\\uc0\\u8221{} 2022)","plainCitation":"(“Megadrought in Southwestern North America Is Region’s Driest in at Least 1,200 Years,” 2022)","noteIndex":0},"citationItems":[{"id":42,"uris":["http://zotero.org/users/local/uV6ZLHVO/items/WXN4EWP6"],"itemData":{"id":42,"type":"post-weblog","container-title":"UCLA College","language":"en-US","note":"section: Box 2","title":"Megadrought in southwestern North America is region’s driest in at least 1,200 years","URL":"https://www.college.ucla.edu/2022/02/14/megadrought-in-southwestern-north-america-is-regions-driest-in-at-least-1200-years/","accessed":{"date-parts":[["2024",8,14]]},"issued":{"date-parts":[["2022",2,14]]}}}],"schema":"https://github.com/citation-style-language/schema/raw/master/csl-citation.json"} </w:instrText>
      </w:r>
      <w:r>
        <w:fldChar w:fldCharType="separate"/>
      </w:r>
      <w:r w:rsidRPr="000922E3">
        <w:rPr>
          <w:rFonts w:ascii="Aptos" w:hAnsi="Aptos" w:cs="Times New Roman"/>
          <w:kern w:val="0"/>
        </w:rPr>
        <w:t>(“Megadrought in Southwestern North America Is Region’s Driest in at Least 1,200 Years,” 2022)</w:t>
      </w:r>
      <w:r>
        <w:fldChar w:fldCharType="end"/>
      </w:r>
      <w:r w:rsidRPr="000922E3">
        <w:t>.</w:t>
      </w:r>
      <w:r>
        <w:t xml:space="preserve"> </w:t>
      </w:r>
      <w:r>
        <w:t>The figure</w:t>
      </w:r>
      <w:r>
        <w:t xml:space="preserve"> below shows how storage levels have decreased.</w:t>
      </w:r>
    </w:p>
    <w:p w14:paraId="45216A7D" w14:textId="77777777" w:rsidR="008005BC" w:rsidRDefault="008005BC" w:rsidP="008005BC">
      <w:r w:rsidRPr="00E44977">
        <w:rPr>
          <w:noProof/>
        </w:rPr>
        <w:drawing>
          <wp:inline distT="0" distB="0" distL="0" distR="0" wp14:anchorId="5101D7B5" wp14:editId="4EBD1A37">
            <wp:extent cx="4588244" cy="2276475"/>
            <wp:effectExtent l="0" t="0" r="3175" b="0"/>
            <wp:docPr id="887912561" name="Picture 1" descr="A graph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12561" name="Picture 1" descr="A graph of blue lines&#10;&#10;Description automatically generated with medium confidence"/>
                    <pic:cNvPicPr/>
                  </pic:nvPicPr>
                  <pic:blipFill>
                    <a:blip r:embed="rId8"/>
                    <a:stretch>
                      <a:fillRect/>
                    </a:stretch>
                  </pic:blipFill>
                  <pic:spPr>
                    <a:xfrm>
                      <a:off x="0" y="0"/>
                      <a:ext cx="4591227" cy="2277955"/>
                    </a:xfrm>
                    <a:prstGeom prst="rect">
                      <a:avLst/>
                    </a:prstGeom>
                  </pic:spPr>
                </pic:pic>
              </a:graphicData>
            </a:graphic>
          </wp:inline>
        </w:drawing>
      </w:r>
    </w:p>
    <w:p w14:paraId="2DFF276F" w14:textId="77777777" w:rsidR="008005BC" w:rsidRDefault="008005BC" w:rsidP="008005BC">
      <w:pPr>
        <w:pStyle w:val="Heading3"/>
        <w:numPr>
          <w:ilvl w:val="1"/>
          <w:numId w:val="5"/>
        </w:numPr>
        <w:ind w:left="1440"/>
      </w:pPr>
      <w:r>
        <w:t>MWD</w:t>
      </w:r>
    </w:p>
    <w:p w14:paraId="3098A7FD" w14:textId="77777777" w:rsidR="008005BC" w:rsidRDefault="008005BC" w:rsidP="008005BC">
      <w:r>
        <w:t xml:space="preserve">Here I compare USBR diversions with that of MWD. Diversions in some years seem to be higher than what MWD claims to have received (This is weird). If we look at 2010, 2011, 2012 reports for consumptive use its almost the same as diversions. One possible explanation could be that SDCWA is getting some of the waters that </w:t>
      </w:r>
      <w:proofErr w:type="gramStart"/>
      <w:r>
        <w:t>is</w:t>
      </w:r>
      <w:proofErr w:type="gramEnd"/>
      <w:r>
        <w:t xml:space="preserve"> diverted to MWD. In 2010 and 2011 exchange between MWD and SDCWA happened where MWD received 150 </w:t>
      </w:r>
      <w:proofErr w:type="spellStart"/>
      <w:r>
        <w:t>taf</w:t>
      </w:r>
      <w:proofErr w:type="spellEnd"/>
      <w:r>
        <w:t xml:space="preserve"> /yr</w:t>
      </w:r>
    </w:p>
    <w:p w14:paraId="6B716681" w14:textId="77777777" w:rsidR="008005BC" w:rsidRPr="00EB1D10" w:rsidRDefault="008005BC" w:rsidP="008005BC"/>
    <w:p w14:paraId="78765BA5" w14:textId="77777777" w:rsidR="008005BC" w:rsidRDefault="008005BC" w:rsidP="008005BC">
      <w:r>
        <w:rPr>
          <w:noProof/>
        </w:rPr>
        <w:lastRenderedPageBreak/>
        <w:drawing>
          <wp:inline distT="0" distB="0" distL="0" distR="0" wp14:anchorId="47A38A32" wp14:editId="67F96E50">
            <wp:extent cx="5943600" cy="2962910"/>
            <wp:effectExtent l="0" t="0" r="0" b="8890"/>
            <wp:docPr id="1852357913" name="Chart 1">
              <a:extLst xmlns:a="http://schemas.openxmlformats.org/drawingml/2006/main">
                <a:ext uri="{FF2B5EF4-FFF2-40B4-BE49-F238E27FC236}">
                  <a16:creationId xmlns:a16="http://schemas.microsoft.com/office/drawing/2014/main" id="{49B28B23-0DF9-97DC-141A-02AEDB39C6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A5155AD" w14:textId="77777777" w:rsidR="00890CA4" w:rsidRPr="008005BC" w:rsidRDefault="00890CA4" w:rsidP="008005BC"/>
    <w:sectPr w:rsidR="00890CA4" w:rsidRPr="00800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752FC"/>
    <w:multiLevelType w:val="hybridMultilevel"/>
    <w:tmpl w:val="50648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36688"/>
    <w:multiLevelType w:val="hybridMultilevel"/>
    <w:tmpl w:val="7C00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8444C"/>
    <w:multiLevelType w:val="hybridMultilevel"/>
    <w:tmpl w:val="B9440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95CB8"/>
    <w:multiLevelType w:val="hybridMultilevel"/>
    <w:tmpl w:val="7ACEA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9311A"/>
    <w:multiLevelType w:val="hybridMultilevel"/>
    <w:tmpl w:val="D7B493DC"/>
    <w:lvl w:ilvl="0" w:tplc="E1F2A520">
      <w:start w:val="1"/>
      <w:numFmt w:val="bullet"/>
      <w:lvlText w:val=""/>
      <w:lvlJc w:val="left"/>
      <w:pPr>
        <w:tabs>
          <w:tab w:val="num" w:pos="1080"/>
        </w:tabs>
        <w:ind w:left="1080" w:hanging="360"/>
      </w:pPr>
      <w:rPr>
        <w:rFonts w:ascii="Wingdings" w:hAnsi="Wingdings" w:hint="default"/>
      </w:rPr>
    </w:lvl>
    <w:lvl w:ilvl="1" w:tplc="64B8695C">
      <w:numFmt w:val="bullet"/>
      <w:lvlText w:val=""/>
      <w:lvlJc w:val="left"/>
      <w:pPr>
        <w:tabs>
          <w:tab w:val="num" w:pos="1800"/>
        </w:tabs>
        <w:ind w:left="1800" w:hanging="360"/>
      </w:pPr>
      <w:rPr>
        <w:rFonts w:ascii="Wingdings" w:hAnsi="Wingdings" w:hint="default"/>
      </w:rPr>
    </w:lvl>
    <w:lvl w:ilvl="2" w:tplc="6946109E" w:tentative="1">
      <w:start w:val="1"/>
      <w:numFmt w:val="bullet"/>
      <w:lvlText w:val=""/>
      <w:lvlJc w:val="left"/>
      <w:pPr>
        <w:tabs>
          <w:tab w:val="num" w:pos="2520"/>
        </w:tabs>
        <w:ind w:left="2520" w:hanging="360"/>
      </w:pPr>
      <w:rPr>
        <w:rFonts w:ascii="Wingdings" w:hAnsi="Wingdings" w:hint="default"/>
      </w:rPr>
    </w:lvl>
    <w:lvl w:ilvl="3" w:tplc="CDC232DE" w:tentative="1">
      <w:start w:val="1"/>
      <w:numFmt w:val="bullet"/>
      <w:lvlText w:val=""/>
      <w:lvlJc w:val="left"/>
      <w:pPr>
        <w:tabs>
          <w:tab w:val="num" w:pos="3240"/>
        </w:tabs>
        <w:ind w:left="3240" w:hanging="360"/>
      </w:pPr>
      <w:rPr>
        <w:rFonts w:ascii="Wingdings" w:hAnsi="Wingdings" w:hint="default"/>
      </w:rPr>
    </w:lvl>
    <w:lvl w:ilvl="4" w:tplc="CAA6D68C" w:tentative="1">
      <w:start w:val="1"/>
      <w:numFmt w:val="bullet"/>
      <w:lvlText w:val=""/>
      <w:lvlJc w:val="left"/>
      <w:pPr>
        <w:tabs>
          <w:tab w:val="num" w:pos="3960"/>
        </w:tabs>
        <w:ind w:left="3960" w:hanging="360"/>
      </w:pPr>
      <w:rPr>
        <w:rFonts w:ascii="Wingdings" w:hAnsi="Wingdings" w:hint="default"/>
      </w:rPr>
    </w:lvl>
    <w:lvl w:ilvl="5" w:tplc="37367834" w:tentative="1">
      <w:start w:val="1"/>
      <w:numFmt w:val="bullet"/>
      <w:lvlText w:val=""/>
      <w:lvlJc w:val="left"/>
      <w:pPr>
        <w:tabs>
          <w:tab w:val="num" w:pos="4680"/>
        </w:tabs>
        <w:ind w:left="4680" w:hanging="360"/>
      </w:pPr>
      <w:rPr>
        <w:rFonts w:ascii="Wingdings" w:hAnsi="Wingdings" w:hint="default"/>
      </w:rPr>
    </w:lvl>
    <w:lvl w:ilvl="6" w:tplc="C26EA55A" w:tentative="1">
      <w:start w:val="1"/>
      <w:numFmt w:val="bullet"/>
      <w:lvlText w:val=""/>
      <w:lvlJc w:val="left"/>
      <w:pPr>
        <w:tabs>
          <w:tab w:val="num" w:pos="5400"/>
        </w:tabs>
        <w:ind w:left="5400" w:hanging="360"/>
      </w:pPr>
      <w:rPr>
        <w:rFonts w:ascii="Wingdings" w:hAnsi="Wingdings" w:hint="default"/>
      </w:rPr>
    </w:lvl>
    <w:lvl w:ilvl="7" w:tplc="09D8FF26" w:tentative="1">
      <w:start w:val="1"/>
      <w:numFmt w:val="bullet"/>
      <w:lvlText w:val=""/>
      <w:lvlJc w:val="left"/>
      <w:pPr>
        <w:tabs>
          <w:tab w:val="num" w:pos="6120"/>
        </w:tabs>
        <w:ind w:left="6120" w:hanging="360"/>
      </w:pPr>
      <w:rPr>
        <w:rFonts w:ascii="Wingdings" w:hAnsi="Wingdings" w:hint="default"/>
      </w:rPr>
    </w:lvl>
    <w:lvl w:ilvl="8" w:tplc="0CAED7A2"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31956976"/>
    <w:multiLevelType w:val="hybridMultilevel"/>
    <w:tmpl w:val="97C8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65065D"/>
    <w:multiLevelType w:val="hybridMultilevel"/>
    <w:tmpl w:val="BA3C1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8E5754"/>
    <w:multiLevelType w:val="hybridMultilevel"/>
    <w:tmpl w:val="5AA4B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29978973">
    <w:abstractNumId w:val="5"/>
  </w:num>
  <w:num w:numId="2" w16cid:durableId="643896431">
    <w:abstractNumId w:val="3"/>
  </w:num>
  <w:num w:numId="3" w16cid:durableId="686713529">
    <w:abstractNumId w:val="2"/>
  </w:num>
  <w:num w:numId="4" w16cid:durableId="1618102182">
    <w:abstractNumId w:val="6"/>
  </w:num>
  <w:num w:numId="5" w16cid:durableId="1868522982">
    <w:abstractNumId w:val="7"/>
  </w:num>
  <w:num w:numId="6" w16cid:durableId="664943259">
    <w:abstractNumId w:val="1"/>
  </w:num>
  <w:num w:numId="7" w16cid:durableId="155726490">
    <w:abstractNumId w:val="4"/>
  </w:num>
  <w:num w:numId="8" w16cid:durableId="517236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A0E"/>
    <w:rsid w:val="00003FDE"/>
    <w:rsid w:val="00054653"/>
    <w:rsid w:val="001C2C6E"/>
    <w:rsid w:val="001F6ECC"/>
    <w:rsid w:val="002742AB"/>
    <w:rsid w:val="00286553"/>
    <w:rsid w:val="002E4BBA"/>
    <w:rsid w:val="003044AA"/>
    <w:rsid w:val="003152AF"/>
    <w:rsid w:val="00330C1B"/>
    <w:rsid w:val="00341CA2"/>
    <w:rsid w:val="00407A0E"/>
    <w:rsid w:val="0056104F"/>
    <w:rsid w:val="00565635"/>
    <w:rsid w:val="00580B16"/>
    <w:rsid w:val="005947E3"/>
    <w:rsid w:val="006778B6"/>
    <w:rsid w:val="006C100E"/>
    <w:rsid w:val="006E2F0C"/>
    <w:rsid w:val="00730113"/>
    <w:rsid w:val="00766302"/>
    <w:rsid w:val="007A0A72"/>
    <w:rsid w:val="008005BC"/>
    <w:rsid w:val="0083198B"/>
    <w:rsid w:val="00890CA4"/>
    <w:rsid w:val="009D6531"/>
    <w:rsid w:val="009E3FCE"/>
    <w:rsid w:val="00A7130E"/>
    <w:rsid w:val="00B32462"/>
    <w:rsid w:val="00B65A54"/>
    <w:rsid w:val="00BD5699"/>
    <w:rsid w:val="00C171D3"/>
    <w:rsid w:val="00D559C0"/>
    <w:rsid w:val="00E00627"/>
    <w:rsid w:val="00E44977"/>
    <w:rsid w:val="00E60AE9"/>
    <w:rsid w:val="00F86B2E"/>
    <w:rsid w:val="00FA72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8392C"/>
  <w15:chartTrackingRefBased/>
  <w15:docId w15:val="{36B3A7F8-1D1C-4101-946D-974F44BA8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5BC"/>
  </w:style>
  <w:style w:type="paragraph" w:styleId="Heading1">
    <w:name w:val="heading 1"/>
    <w:basedOn w:val="Normal"/>
    <w:next w:val="Normal"/>
    <w:link w:val="Heading1Char"/>
    <w:uiPriority w:val="9"/>
    <w:qFormat/>
    <w:rsid w:val="00407A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07A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07A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7A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7A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7A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A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A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A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A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07A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07A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7A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7A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7A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A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A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A0E"/>
    <w:rPr>
      <w:rFonts w:eastAsiaTheme="majorEastAsia" w:cstheme="majorBidi"/>
      <w:color w:val="272727" w:themeColor="text1" w:themeTint="D8"/>
    </w:rPr>
  </w:style>
  <w:style w:type="paragraph" w:styleId="Title">
    <w:name w:val="Title"/>
    <w:basedOn w:val="Normal"/>
    <w:next w:val="Normal"/>
    <w:link w:val="TitleChar"/>
    <w:uiPriority w:val="10"/>
    <w:qFormat/>
    <w:rsid w:val="00407A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A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A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A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A0E"/>
    <w:pPr>
      <w:spacing w:before="160"/>
      <w:jc w:val="center"/>
    </w:pPr>
    <w:rPr>
      <w:i/>
      <w:iCs/>
      <w:color w:val="404040" w:themeColor="text1" w:themeTint="BF"/>
    </w:rPr>
  </w:style>
  <w:style w:type="character" w:customStyle="1" w:styleId="QuoteChar">
    <w:name w:val="Quote Char"/>
    <w:basedOn w:val="DefaultParagraphFont"/>
    <w:link w:val="Quote"/>
    <w:uiPriority w:val="29"/>
    <w:rsid w:val="00407A0E"/>
    <w:rPr>
      <w:i/>
      <w:iCs/>
      <w:color w:val="404040" w:themeColor="text1" w:themeTint="BF"/>
    </w:rPr>
  </w:style>
  <w:style w:type="paragraph" w:styleId="ListParagraph">
    <w:name w:val="List Paragraph"/>
    <w:basedOn w:val="Normal"/>
    <w:uiPriority w:val="34"/>
    <w:qFormat/>
    <w:rsid w:val="00407A0E"/>
    <w:pPr>
      <w:ind w:left="720"/>
      <w:contextualSpacing/>
    </w:pPr>
  </w:style>
  <w:style w:type="character" w:styleId="IntenseEmphasis">
    <w:name w:val="Intense Emphasis"/>
    <w:basedOn w:val="DefaultParagraphFont"/>
    <w:uiPriority w:val="21"/>
    <w:qFormat/>
    <w:rsid w:val="00407A0E"/>
    <w:rPr>
      <w:i/>
      <w:iCs/>
      <w:color w:val="0F4761" w:themeColor="accent1" w:themeShade="BF"/>
    </w:rPr>
  </w:style>
  <w:style w:type="paragraph" w:styleId="IntenseQuote">
    <w:name w:val="Intense Quote"/>
    <w:basedOn w:val="Normal"/>
    <w:next w:val="Normal"/>
    <w:link w:val="IntenseQuoteChar"/>
    <w:uiPriority w:val="30"/>
    <w:qFormat/>
    <w:rsid w:val="00407A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7A0E"/>
    <w:rPr>
      <w:i/>
      <w:iCs/>
      <w:color w:val="0F4761" w:themeColor="accent1" w:themeShade="BF"/>
    </w:rPr>
  </w:style>
  <w:style w:type="character" w:styleId="IntenseReference">
    <w:name w:val="Intense Reference"/>
    <w:basedOn w:val="DefaultParagraphFont"/>
    <w:uiPriority w:val="32"/>
    <w:qFormat/>
    <w:rsid w:val="00407A0E"/>
    <w:rPr>
      <w:b/>
      <w:bCs/>
      <w:smallCaps/>
      <w:color w:val="0F4761" w:themeColor="accent1" w:themeShade="BF"/>
      <w:spacing w:val="5"/>
    </w:rPr>
  </w:style>
  <w:style w:type="character" w:styleId="Hyperlink">
    <w:name w:val="Hyperlink"/>
    <w:basedOn w:val="DefaultParagraphFont"/>
    <w:uiPriority w:val="99"/>
    <w:unhideWhenUsed/>
    <w:rsid w:val="001F6ECC"/>
    <w:rPr>
      <w:color w:val="467886" w:themeColor="hyperlink"/>
      <w:u w:val="single"/>
    </w:rPr>
  </w:style>
  <w:style w:type="character" w:styleId="UnresolvedMention">
    <w:name w:val="Unresolved Mention"/>
    <w:basedOn w:val="DefaultParagraphFont"/>
    <w:uiPriority w:val="99"/>
    <w:semiHidden/>
    <w:unhideWhenUsed/>
    <w:rsid w:val="001F6ECC"/>
    <w:rPr>
      <w:color w:val="605E5C"/>
      <w:shd w:val="clear" w:color="auto" w:fill="E1DFDD"/>
    </w:rPr>
  </w:style>
  <w:style w:type="character" w:styleId="FollowedHyperlink">
    <w:name w:val="FollowedHyperlink"/>
    <w:basedOn w:val="DefaultParagraphFont"/>
    <w:uiPriority w:val="99"/>
    <w:semiHidden/>
    <w:unhideWhenUsed/>
    <w:rsid w:val="006E2F0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82280">
      <w:bodyDiv w:val="1"/>
      <w:marLeft w:val="0"/>
      <w:marRight w:val="0"/>
      <w:marTop w:val="0"/>
      <w:marBottom w:val="0"/>
      <w:divBdr>
        <w:top w:val="none" w:sz="0" w:space="0" w:color="auto"/>
        <w:left w:val="none" w:sz="0" w:space="0" w:color="auto"/>
        <w:bottom w:val="none" w:sz="0" w:space="0" w:color="auto"/>
        <w:right w:val="none" w:sz="0" w:space="0" w:color="auto"/>
      </w:divBdr>
    </w:div>
    <w:div w:id="169293898">
      <w:bodyDiv w:val="1"/>
      <w:marLeft w:val="0"/>
      <w:marRight w:val="0"/>
      <w:marTop w:val="0"/>
      <w:marBottom w:val="0"/>
      <w:divBdr>
        <w:top w:val="none" w:sz="0" w:space="0" w:color="auto"/>
        <w:left w:val="none" w:sz="0" w:space="0" w:color="auto"/>
        <w:bottom w:val="none" w:sz="0" w:space="0" w:color="auto"/>
        <w:right w:val="none" w:sz="0" w:space="0" w:color="auto"/>
      </w:divBdr>
    </w:div>
    <w:div w:id="288361292">
      <w:bodyDiv w:val="1"/>
      <w:marLeft w:val="0"/>
      <w:marRight w:val="0"/>
      <w:marTop w:val="0"/>
      <w:marBottom w:val="0"/>
      <w:divBdr>
        <w:top w:val="none" w:sz="0" w:space="0" w:color="auto"/>
        <w:left w:val="none" w:sz="0" w:space="0" w:color="auto"/>
        <w:bottom w:val="none" w:sz="0" w:space="0" w:color="auto"/>
        <w:right w:val="none" w:sz="0" w:space="0" w:color="auto"/>
      </w:divBdr>
      <w:divsChild>
        <w:div w:id="512569288">
          <w:marLeft w:val="0"/>
          <w:marRight w:val="0"/>
          <w:marTop w:val="0"/>
          <w:marBottom w:val="0"/>
          <w:divBdr>
            <w:top w:val="none" w:sz="0" w:space="0" w:color="auto"/>
            <w:left w:val="none" w:sz="0" w:space="0" w:color="auto"/>
            <w:bottom w:val="none" w:sz="0" w:space="0" w:color="auto"/>
            <w:right w:val="none" w:sz="0" w:space="0" w:color="auto"/>
          </w:divBdr>
        </w:div>
      </w:divsChild>
    </w:div>
    <w:div w:id="342442036">
      <w:bodyDiv w:val="1"/>
      <w:marLeft w:val="0"/>
      <w:marRight w:val="0"/>
      <w:marTop w:val="0"/>
      <w:marBottom w:val="0"/>
      <w:divBdr>
        <w:top w:val="none" w:sz="0" w:space="0" w:color="auto"/>
        <w:left w:val="none" w:sz="0" w:space="0" w:color="auto"/>
        <w:bottom w:val="none" w:sz="0" w:space="0" w:color="auto"/>
        <w:right w:val="none" w:sz="0" w:space="0" w:color="auto"/>
      </w:divBdr>
    </w:div>
    <w:div w:id="568999765">
      <w:bodyDiv w:val="1"/>
      <w:marLeft w:val="0"/>
      <w:marRight w:val="0"/>
      <w:marTop w:val="0"/>
      <w:marBottom w:val="0"/>
      <w:divBdr>
        <w:top w:val="none" w:sz="0" w:space="0" w:color="auto"/>
        <w:left w:val="none" w:sz="0" w:space="0" w:color="auto"/>
        <w:bottom w:val="none" w:sz="0" w:space="0" w:color="auto"/>
        <w:right w:val="none" w:sz="0" w:space="0" w:color="auto"/>
      </w:divBdr>
    </w:div>
    <w:div w:id="2112819998">
      <w:bodyDiv w:val="1"/>
      <w:marLeft w:val="0"/>
      <w:marRight w:val="0"/>
      <w:marTop w:val="0"/>
      <w:marBottom w:val="0"/>
      <w:divBdr>
        <w:top w:val="none" w:sz="0" w:space="0" w:color="auto"/>
        <w:left w:val="none" w:sz="0" w:space="0" w:color="auto"/>
        <w:bottom w:val="none" w:sz="0" w:space="0" w:color="auto"/>
        <w:right w:val="none" w:sz="0" w:space="0" w:color="auto"/>
      </w:divBdr>
      <w:divsChild>
        <w:div w:id="1044596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rmen\Desktop\Drought%20Indicators%20-%20SoCal\Main\MWD%20sources%20Fig%2003_sourc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Colorado!$C$2</c:f>
              <c:strCache>
                <c:ptCount val="1"/>
                <c:pt idx="0">
                  <c:v>MWD</c:v>
                </c:pt>
              </c:strCache>
            </c:strRef>
          </c:tx>
          <c:spPr>
            <a:solidFill>
              <a:schemeClr val="accent1"/>
            </a:solidFill>
            <a:ln>
              <a:noFill/>
            </a:ln>
            <a:effectLst/>
          </c:spPr>
          <c:invertIfNegative val="0"/>
          <c:cat>
            <c:numRef>
              <c:f>Colorado!$B$9:$B$42</c:f>
              <c:numCache>
                <c:formatCode>General</c:formatCode>
                <c:ptCount val="34"/>
                <c:pt idx="0">
                  <c:v>1982</c:v>
                </c:pt>
                <c:pt idx="1">
                  <c:v>1983</c:v>
                </c:pt>
                <c:pt idx="2">
                  <c:v>1984</c:v>
                </c:pt>
                <c:pt idx="3">
                  <c:v>1985</c:v>
                </c:pt>
                <c:pt idx="4">
                  <c:v>1986</c:v>
                </c:pt>
                <c:pt idx="5">
                  <c:v>1987</c:v>
                </c:pt>
                <c:pt idx="6">
                  <c:v>1988</c:v>
                </c:pt>
                <c:pt idx="7">
                  <c:v>1989</c:v>
                </c:pt>
                <c:pt idx="8">
                  <c:v>1990</c:v>
                </c:pt>
                <c:pt idx="9">
                  <c:v>1991</c:v>
                </c:pt>
                <c:pt idx="10">
                  <c:v>1992</c:v>
                </c:pt>
                <c:pt idx="11">
                  <c:v>1993</c:v>
                </c:pt>
                <c:pt idx="12">
                  <c:v>1994</c:v>
                </c:pt>
                <c:pt idx="13">
                  <c:v>1995</c:v>
                </c:pt>
                <c:pt idx="14">
                  <c:v>1996</c:v>
                </c:pt>
                <c:pt idx="15">
                  <c:v>1997</c:v>
                </c:pt>
                <c:pt idx="16">
                  <c:v>1998</c:v>
                </c:pt>
                <c:pt idx="17">
                  <c:v>1999</c:v>
                </c:pt>
                <c:pt idx="18">
                  <c:v>2000</c:v>
                </c:pt>
                <c:pt idx="19">
                  <c:v>2001</c:v>
                </c:pt>
                <c:pt idx="20">
                  <c:v>2002</c:v>
                </c:pt>
                <c:pt idx="21">
                  <c:v>2003</c:v>
                </c:pt>
                <c:pt idx="22">
                  <c:v>2004</c:v>
                </c:pt>
                <c:pt idx="23">
                  <c:v>2005</c:v>
                </c:pt>
                <c:pt idx="24">
                  <c:v>2006</c:v>
                </c:pt>
                <c:pt idx="25">
                  <c:v>2007</c:v>
                </c:pt>
                <c:pt idx="26">
                  <c:v>2008</c:v>
                </c:pt>
                <c:pt idx="27">
                  <c:v>2009</c:v>
                </c:pt>
                <c:pt idx="28">
                  <c:v>2010</c:v>
                </c:pt>
                <c:pt idx="29">
                  <c:v>2011</c:v>
                </c:pt>
                <c:pt idx="30">
                  <c:v>2012</c:v>
                </c:pt>
                <c:pt idx="31">
                  <c:v>2013</c:v>
                </c:pt>
                <c:pt idx="32">
                  <c:v>2014</c:v>
                </c:pt>
                <c:pt idx="33">
                  <c:v>2015</c:v>
                </c:pt>
              </c:numCache>
            </c:numRef>
          </c:cat>
          <c:val>
            <c:numRef>
              <c:f>Colorado!$C$9:$C$42</c:f>
              <c:numCache>
                <c:formatCode>#,##0</c:formatCode>
                <c:ptCount val="34"/>
                <c:pt idx="0">
                  <c:v>686000</c:v>
                </c:pt>
                <c:pt idx="1">
                  <c:v>850000</c:v>
                </c:pt>
                <c:pt idx="2">
                  <c:v>1150000</c:v>
                </c:pt>
                <c:pt idx="3">
                  <c:v>1018000</c:v>
                </c:pt>
                <c:pt idx="4">
                  <c:v>1001000</c:v>
                </c:pt>
                <c:pt idx="5">
                  <c:v>1175000</c:v>
                </c:pt>
                <c:pt idx="6">
                  <c:v>1199000</c:v>
                </c:pt>
                <c:pt idx="7">
                  <c:v>1189000</c:v>
                </c:pt>
                <c:pt idx="8">
                  <c:v>1183000</c:v>
                </c:pt>
                <c:pt idx="9">
                  <c:v>1252000</c:v>
                </c:pt>
                <c:pt idx="10">
                  <c:v>1153000</c:v>
                </c:pt>
                <c:pt idx="11">
                  <c:v>1144000</c:v>
                </c:pt>
                <c:pt idx="12">
                  <c:v>1263000</c:v>
                </c:pt>
                <c:pt idx="13">
                  <c:v>933000</c:v>
                </c:pt>
                <c:pt idx="14">
                  <c:v>1089000</c:v>
                </c:pt>
                <c:pt idx="15">
                  <c:v>1125000</c:v>
                </c:pt>
                <c:pt idx="16">
                  <c:v>941000</c:v>
                </c:pt>
                <c:pt idx="17">
                  <c:v>1072000</c:v>
                </c:pt>
                <c:pt idx="18">
                  <c:v>1217000</c:v>
                </c:pt>
                <c:pt idx="19">
                  <c:v>1245000</c:v>
                </c:pt>
                <c:pt idx="20">
                  <c:v>1198000</c:v>
                </c:pt>
                <c:pt idx="21">
                  <c:v>676000</c:v>
                </c:pt>
                <c:pt idx="22">
                  <c:v>741000</c:v>
                </c:pt>
                <c:pt idx="23">
                  <c:v>707000</c:v>
                </c:pt>
                <c:pt idx="24">
                  <c:v>514000</c:v>
                </c:pt>
                <c:pt idx="25">
                  <c:v>696000</c:v>
                </c:pt>
                <c:pt idx="26">
                  <c:v>896000</c:v>
                </c:pt>
                <c:pt idx="27">
                  <c:v>1044000</c:v>
                </c:pt>
                <c:pt idx="28">
                  <c:v>837000</c:v>
                </c:pt>
                <c:pt idx="29">
                  <c:v>445000</c:v>
                </c:pt>
                <c:pt idx="30">
                  <c:v>455000</c:v>
                </c:pt>
                <c:pt idx="31">
                  <c:v>984000</c:v>
                </c:pt>
                <c:pt idx="32">
                  <c:v>1168000</c:v>
                </c:pt>
                <c:pt idx="33">
                  <c:v>1180000</c:v>
                </c:pt>
              </c:numCache>
            </c:numRef>
          </c:val>
          <c:extLst>
            <c:ext xmlns:c16="http://schemas.microsoft.com/office/drawing/2014/chart" uri="{C3380CC4-5D6E-409C-BE32-E72D297353CC}">
              <c16:uniqueId val="{00000000-F18D-4487-939A-B20EA7B6F3D9}"/>
            </c:ext>
          </c:extLst>
        </c:ser>
        <c:ser>
          <c:idx val="1"/>
          <c:order val="1"/>
          <c:tx>
            <c:strRef>
              <c:f>Colorado!$D$2</c:f>
              <c:strCache>
                <c:ptCount val="1"/>
                <c:pt idx="0">
                  <c:v>USBR Diversions</c:v>
                </c:pt>
              </c:strCache>
            </c:strRef>
          </c:tx>
          <c:spPr>
            <a:solidFill>
              <a:schemeClr val="accent2"/>
            </a:solidFill>
            <a:ln>
              <a:noFill/>
            </a:ln>
            <a:effectLst/>
          </c:spPr>
          <c:invertIfNegative val="0"/>
          <c:cat>
            <c:numRef>
              <c:f>Colorado!$B$9:$B$42</c:f>
              <c:numCache>
                <c:formatCode>General</c:formatCode>
                <c:ptCount val="34"/>
                <c:pt idx="0">
                  <c:v>1982</c:v>
                </c:pt>
                <c:pt idx="1">
                  <c:v>1983</c:v>
                </c:pt>
                <c:pt idx="2">
                  <c:v>1984</c:v>
                </c:pt>
                <c:pt idx="3">
                  <c:v>1985</c:v>
                </c:pt>
                <c:pt idx="4">
                  <c:v>1986</c:v>
                </c:pt>
                <c:pt idx="5">
                  <c:v>1987</c:v>
                </c:pt>
                <c:pt idx="6">
                  <c:v>1988</c:v>
                </c:pt>
                <c:pt idx="7">
                  <c:v>1989</c:v>
                </c:pt>
                <c:pt idx="8">
                  <c:v>1990</c:v>
                </c:pt>
                <c:pt idx="9">
                  <c:v>1991</c:v>
                </c:pt>
                <c:pt idx="10">
                  <c:v>1992</c:v>
                </c:pt>
                <c:pt idx="11">
                  <c:v>1993</c:v>
                </c:pt>
                <c:pt idx="12">
                  <c:v>1994</c:v>
                </c:pt>
                <c:pt idx="13">
                  <c:v>1995</c:v>
                </c:pt>
                <c:pt idx="14">
                  <c:v>1996</c:v>
                </c:pt>
                <c:pt idx="15">
                  <c:v>1997</c:v>
                </c:pt>
                <c:pt idx="16">
                  <c:v>1998</c:v>
                </c:pt>
                <c:pt idx="17">
                  <c:v>1999</c:v>
                </c:pt>
                <c:pt idx="18">
                  <c:v>2000</c:v>
                </c:pt>
                <c:pt idx="19">
                  <c:v>2001</c:v>
                </c:pt>
                <c:pt idx="20">
                  <c:v>2002</c:v>
                </c:pt>
                <c:pt idx="21">
                  <c:v>2003</c:v>
                </c:pt>
                <c:pt idx="22">
                  <c:v>2004</c:v>
                </c:pt>
                <c:pt idx="23">
                  <c:v>2005</c:v>
                </c:pt>
                <c:pt idx="24">
                  <c:v>2006</c:v>
                </c:pt>
                <c:pt idx="25">
                  <c:v>2007</c:v>
                </c:pt>
                <c:pt idx="26">
                  <c:v>2008</c:v>
                </c:pt>
                <c:pt idx="27">
                  <c:v>2009</c:v>
                </c:pt>
                <c:pt idx="28">
                  <c:v>2010</c:v>
                </c:pt>
                <c:pt idx="29">
                  <c:v>2011</c:v>
                </c:pt>
                <c:pt idx="30">
                  <c:v>2012</c:v>
                </c:pt>
                <c:pt idx="31">
                  <c:v>2013</c:v>
                </c:pt>
                <c:pt idx="32">
                  <c:v>2014</c:v>
                </c:pt>
                <c:pt idx="33">
                  <c:v>2015</c:v>
                </c:pt>
              </c:numCache>
            </c:numRef>
          </c:cat>
          <c:val>
            <c:numRef>
              <c:f>Colorado!$D$9:$D$42</c:f>
              <c:numCache>
                <c:formatCode>General</c:formatCode>
                <c:ptCount val="34"/>
                <c:pt idx="0">
                  <c:v>716000</c:v>
                </c:pt>
                <c:pt idx="1">
                  <c:v>907000</c:v>
                </c:pt>
                <c:pt idx="2">
                  <c:v>1228000</c:v>
                </c:pt>
                <c:pt idx="3">
                  <c:v>1275000</c:v>
                </c:pt>
                <c:pt idx="4">
                  <c:v>1300000</c:v>
                </c:pt>
                <c:pt idx="5">
                  <c:v>1281000</c:v>
                </c:pt>
                <c:pt idx="6">
                  <c:v>1190000</c:v>
                </c:pt>
                <c:pt idx="7">
                  <c:v>1203700</c:v>
                </c:pt>
                <c:pt idx="8">
                  <c:v>1219200</c:v>
                </c:pt>
                <c:pt idx="9">
                  <c:v>1254700</c:v>
                </c:pt>
                <c:pt idx="10">
                  <c:v>1197400</c:v>
                </c:pt>
                <c:pt idx="11">
                  <c:v>1206000</c:v>
                </c:pt>
                <c:pt idx="12">
                  <c:v>1302666</c:v>
                </c:pt>
                <c:pt idx="13">
                  <c:v>1022893</c:v>
                </c:pt>
                <c:pt idx="14">
                  <c:v>1229142.25535</c:v>
                </c:pt>
                <c:pt idx="15">
                  <c:v>1239463.98688</c:v>
                </c:pt>
                <c:pt idx="16">
                  <c:v>1077140.3102500001</c:v>
                </c:pt>
                <c:pt idx="17">
                  <c:v>1216423.3139299999</c:v>
                </c:pt>
                <c:pt idx="18">
                  <c:v>1302580.29024</c:v>
                </c:pt>
                <c:pt idx="19">
                  <c:v>1257302.47933</c:v>
                </c:pt>
                <c:pt idx="20">
                  <c:v>1240536.19835</c:v>
                </c:pt>
                <c:pt idx="21">
                  <c:v>689887.1156889</c:v>
                </c:pt>
                <c:pt idx="22">
                  <c:v>762860.40712999995</c:v>
                </c:pt>
                <c:pt idx="23">
                  <c:v>903286.6115</c:v>
                </c:pt>
                <c:pt idx="24">
                  <c:v>638142.14882999996</c:v>
                </c:pt>
                <c:pt idx="25">
                  <c:v>717239.00827999995</c:v>
                </c:pt>
                <c:pt idx="26">
                  <c:v>910336.08264000004</c:v>
                </c:pt>
                <c:pt idx="27">
                  <c:v>1110378.90909</c:v>
                </c:pt>
                <c:pt idx="28">
                  <c:v>1099061</c:v>
                </c:pt>
                <c:pt idx="29">
                  <c:v>698990</c:v>
                </c:pt>
                <c:pt idx="30">
                  <c:v>736108.57189999998</c:v>
                </c:pt>
                <c:pt idx="31">
                  <c:v>1012715</c:v>
                </c:pt>
                <c:pt idx="32">
                  <c:v>1176334</c:v>
                </c:pt>
                <c:pt idx="33">
                  <c:v>1179218.00006</c:v>
                </c:pt>
              </c:numCache>
            </c:numRef>
          </c:val>
          <c:extLst>
            <c:ext xmlns:c16="http://schemas.microsoft.com/office/drawing/2014/chart" uri="{C3380CC4-5D6E-409C-BE32-E72D297353CC}">
              <c16:uniqueId val="{00000001-F18D-4487-939A-B20EA7B6F3D9}"/>
            </c:ext>
          </c:extLst>
        </c:ser>
        <c:dLbls>
          <c:showLegendKey val="0"/>
          <c:showVal val="0"/>
          <c:showCatName val="0"/>
          <c:showSerName val="0"/>
          <c:showPercent val="0"/>
          <c:showBubbleSize val="0"/>
        </c:dLbls>
        <c:gapWidth val="219"/>
        <c:overlap val="-27"/>
        <c:axId val="1868485727"/>
        <c:axId val="1868485247"/>
      </c:barChart>
      <c:catAx>
        <c:axId val="1868485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8485247"/>
        <c:crosses val="autoZero"/>
        <c:auto val="1"/>
        <c:lblAlgn val="ctr"/>
        <c:lblOffset val="100"/>
        <c:noMultiLvlLbl val="0"/>
      </c:catAx>
      <c:valAx>
        <c:axId val="186848524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84857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DBDEF-6D0A-47B3-A44E-A03D6F089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7416</TotalTime>
  <Pages>1</Pages>
  <Words>1518</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Armen Konialian</dc:creator>
  <cp:keywords/>
  <dc:description/>
  <cp:lastModifiedBy>Armen Konialian</cp:lastModifiedBy>
  <cp:revision>11</cp:revision>
  <dcterms:created xsi:type="dcterms:W3CDTF">2024-07-01T18:22:00Z</dcterms:created>
  <dcterms:modified xsi:type="dcterms:W3CDTF">2024-08-25T18:31:00Z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id="cW3ClZxi"/&gt;&lt;style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