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723AA3" w14:textId="5BD4A83C" w:rsidR="00FA72BE" w:rsidRDefault="00330C1B">
      <w:r w:rsidRPr="00330C1B">
        <w:rPr>
          <w:noProof/>
        </w:rPr>
        <w:drawing>
          <wp:inline distT="0" distB="0" distL="0" distR="0" wp14:anchorId="0846EC87" wp14:editId="1BB3A6D1">
            <wp:extent cx="5943600" cy="6014720"/>
            <wp:effectExtent l="0" t="0" r="0" b="5080"/>
            <wp:docPr id="1652773052" name="Picture 1"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73052" name="Picture 1" descr="A map of a river&#10;&#10;Description automatically generated"/>
                    <pic:cNvPicPr/>
                  </pic:nvPicPr>
                  <pic:blipFill>
                    <a:blip r:embed="rId6"/>
                    <a:stretch>
                      <a:fillRect/>
                    </a:stretch>
                  </pic:blipFill>
                  <pic:spPr>
                    <a:xfrm>
                      <a:off x="0" y="0"/>
                      <a:ext cx="5943600" cy="6014720"/>
                    </a:xfrm>
                    <a:prstGeom prst="rect">
                      <a:avLst/>
                    </a:prstGeom>
                  </pic:spPr>
                </pic:pic>
              </a:graphicData>
            </a:graphic>
          </wp:inline>
        </w:drawing>
      </w:r>
    </w:p>
    <w:p w14:paraId="1CCBBD89" w14:textId="4F33036A" w:rsidR="001F6ECC" w:rsidRDefault="001F6ECC">
      <w:r>
        <w:br w:type="page"/>
      </w:r>
    </w:p>
    <w:p w14:paraId="540A5A04" w14:textId="40243396" w:rsidR="001F6ECC" w:rsidRPr="001F6ECC" w:rsidRDefault="001F6ECC" w:rsidP="001F6ECC">
      <w:pPr>
        <w:rPr>
          <w:rStyle w:val="Hyperlink"/>
          <w:b/>
          <w:bCs/>
        </w:rPr>
      </w:pPr>
      <w:r>
        <w:rPr>
          <w:b/>
          <w:bCs/>
        </w:rPr>
        <w:lastRenderedPageBreak/>
        <w:fldChar w:fldCharType="begin"/>
      </w:r>
      <w:r>
        <w:rPr>
          <w:b/>
          <w:bCs/>
        </w:rPr>
        <w:instrText>HYPERLINK "https://www.science.org/doi/full/10.1126/science.abo4452" \l "supplementary-materials"</w:instrText>
      </w:r>
      <w:r>
        <w:rPr>
          <w:b/>
          <w:bCs/>
        </w:rPr>
      </w:r>
      <w:r>
        <w:rPr>
          <w:b/>
          <w:bCs/>
        </w:rPr>
        <w:fldChar w:fldCharType="separate"/>
      </w:r>
      <w:r w:rsidRPr="001F6ECC">
        <w:rPr>
          <w:rStyle w:val="Hyperlink"/>
          <w:b/>
          <w:bCs/>
        </w:rPr>
        <w:t>What will it take to stabilize the Colorado River?</w:t>
      </w:r>
    </w:p>
    <w:p w14:paraId="2C2C364D" w14:textId="07306238" w:rsidR="001F6ECC" w:rsidRDefault="001F6ECC" w:rsidP="001F6ECC">
      <w:pPr>
        <w:rPr>
          <w:b/>
          <w:bCs/>
        </w:rPr>
      </w:pPr>
      <w:r w:rsidRPr="001F6ECC">
        <w:rPr>
          <w:rStyle w:val="Hyperlink"/>
        </w:rPr>
        <w:t>A continuation of the current 23-year-long drought will require difficult decisions to prevent further decline</w:t>
      </w:r>
      <w:r>
        <w:rPr>
          <w:b/>
          <w:bCs/>
        </w:rPr>
        <w:fldChar w:fldCharType="end"/>
      </w:r>
    </w:p>
    <w:p w14:paraId="6F607EFD" w14:textId="38D0CB6D" w:rsidR="00E60AE9" w:rsidRPr="001F6ECC" w:rsidRDefault="00000000" w:rsidP="00E60AE9">
      <w:hyperlink r:id="rId7" w:history="1">
        <w:r w:rsidR="00E60AE9" w:rsidRPr="00BE3D29">
          <w:rPr>
            <w:rStyle w:val="Hyperlink"/>
          </w:rPr>
          <w:t>https://www.everycrsreport.com/files/20190321_R45546_bbcb0e946b7f42c8c312e2070e766cbecff0c0ee.pdf</w:t>
        </w:r>
      </w:hyperlink>
    </w:p>
    <w:p w14:paraId="32DA0201" w14:textId="5337936E" w:rsidR="00E60AE9" w:rsidRDefault="00E60AE9" w:rsidP="00E60AE9">
      <w:r>
        <w:t xml:space="preserve">These are good papers to learn about the management of </w:t>
      </w:r>
      <w:r w:rsidR="00B32462">
        <w:t>the Colorado</w:t>
      </w:r>
      <w:r>
        <w:t xml:space="preserve"> river system.</w:t>
      </w:r>
    </w:p>
    <w:p w14:paraId="514336EF" w14:textId="33C09ACD" w:rsidR="00E60AE9" w:rsidRDefault="00000000" w:rsidP="00E60AE9">
      <w:hyperlink r:id="rId8" w:history="1">
        <w:r w:rsidR="00E60AE9" w:rsidRPr="00BE3D29">
          <w:rPr>
            <w:rStyle w:val="Hyperlink"/>
          </w:rPr>
          <w:t>https://www.usbr.gov/lc/region/g4000/NaturalFlow/Final-MethodsCmptgNatFlow.pdf</w:t>
        </w:r>
      </w:hyperlink>
    </w:p>
    <w:p w14:paraId="79D4DB7D" w14:textId="2A7F362F" w:rsidR="00E60AE9" w:rsidRDefault="00E60AE9" w:rsidP="00E60AE9">
      <w:r>
        <w:t>This document is about natural flows</w:t>
      </w:r>
    </w:p>
    <w:p w14:paraId="3CFC9EB1" w14:textId="6590C496" w:rsidR="00E60AE9" w:rsidRDefault="00000000" w:rsidP="00E60AE9">
      <w:hyperlink r:id="rId9" w:anchor="f0005" w:history="1">
        <w:r w:rsidR="00E60AE9" w:rsidRPr="00BE3D29">
          <w:rPr>
            <w:rStyle w:val="Hyperlink"/>
          </w:rPr>
          <w:t>https://www.sciencedirect.com/science/article/pii/S0022169421007733#f0005</w:t>
        </w:r>
      </w:hyperlink>
    </w:p>
    <w:p w14:paraId="1D6EC000" w14:textId="5FC814E3" w:rsidR="00E60AE9" w:rsidRDefault="00E60AE9" w:rsidP="00E60AE9">
      <w:r>
        <w:t xml:space="preserve">we can get info on upper </w:t>
      </w:r>
      <w:r w:rsidR="00B32462">
        <w:t>Colorado</w:t>
      </w:r>
      <w:r>
        <w:t xml:space="preserve"> region</w:t>
      </w:r>
    </w:p>
    <w:p w14:paraId="4B6147C1" w14:textId="74FF0D04" w:rsidR="00E60AE9" w:rsidRDefault="00000000" w:rsidP="00E60AE9">
      <w:hyperlink r:id="rId10" w:history="1">
        <w:r w:rsidR="00E60AE9" w:rsidRPr="00E60AE9">
          <w:rPr>
            <w:rStyle w:val="Hyperlink"/>
          </w:rPr>
          <w:t>Managing the Colorado River for an Uncertain Future</w:t>
        </w:r>
      </w:hyperlink>
    </w:p>
    <w:p w14:paraId="501403DD" w14:textId="4E00621A" w:rsidR="00E60AE9" w:rsidRDefault="00E60AE9" w:rsidP="00E60AE9">
      <w:r>
        <w:t>I would benefit from this. They use multiple decision making under uncertainty rules.</w:t>
      </w:r>
    </w:p>
    <w:p w14:paraId="5971C13E" w14:textId="7A6EA49D" w:rsidR="002E4BBA" w:rsidRDefault="00000000" w:rsidP="00E60AE9">
      <w:hyperlink r:id="rId11" w:history="1">
        <w:r w:rsidR="002E4BBA" w:rsidRPr="00BE3D29">
          <w:rPr>
            <w:rStyle w:val="Hyperlink"/>
          </w:rPr>
          <w:t>https://agupubs.onlinelibrary.wiley.com/doi/full/10.1029/2021WR029753</w:t>
        </w:r>
      </w:hyperlink>
    </w:p>
    <w:p w14:paraId="24BDCF80" w14:textId="35128B33" w:rsidR="002E4BBA" w:rsidRDefault="002E4BBA" w:rsidP="00E60AE9">
      <w:r>
        <w:t>This to get dams and natural flow gages</w:t>
      </w:r>
    </w:p>
    <w:p w14:paraId="28529F58" w14:textId="479BD17D" w:rsidR="002E4BBA" w:rsidRDefault="00000000" w:rsidP="00E60AE9">
      <w:pPr>
        <w:rPr>
          <w:rStyle w:val="Hyperlink"/>
        </w:rPr>
      </w:pPr>
      <w:hyperlink r:id="rId12" w:history="1">
        <w:r w:rsidR="002E4BBA" w:rsidRPr="00BE3D29">
          <w:rPr>
            <w:rStyle w:val="Hyperlink"/>
          </w:rPr>
          <w:t>https://apps.usgs.gov/colorado-river-basin/drought-2023-water-year.html</w:t>
        </w:r>
      </w:hyperlink>
    </w:p>
    <w:p w14:paraId="4EEC2BED" w14:textId="5F8DA7B6" w:rsidR="00B32462" w:rsidRDefault="00000000" w:rsidP="00B32462">
      <w:pPr>
        <w:spacing w:after="0" w:line="240" w:lineRule="auto"/>
        <w:rPr>
          <w:rFonts w:ascii="Calibri" w:eastAsia="Times New Roman" w:hAnsi="Calibri" w:cs="Calibri"/>
          <w:color w:val="000000"/>
          <w:kern w:val="0"/>
          <w:sz w:val="22"/>
          <w:szCs w:val="22"/>
          <w14:ligatures w14:val="none"/>
        </w:rPr>
      </w:pPr>
      <w:hyperlink r:id="rId13" w:history="1">
        <w:r w:rsidR="00B32462" w:rsidRPr="00B32462">
          <w:rPr>
            <w:rStyle w:val="Hyperlink"/>
            <w:rFonts w:ascii="Calibri" w:eastAsia="Times New Roman" w:hAnsi="Calibri" w:cs="Calibri"/>
            <w:kern w:val="0"/>
            <w:sz w:val="22"/>
            <w:szCs w:val="22"/>
            <w14:ligatures w14:val="none"/>
          </w:rPr>
          <w:t>https://waterdata.usgs.gov/nwis/current?search_criteria=huc2_cd&amp;submitted_form=introduction</w:t>
        </w:r>
      </w:hyperlink>
    </w:p>
    <w:p w14:paraId="1A0A53DB" w14:textId="77777777" w:rsidR="00B32462" w:rsidRPr="00B32462" w:rsidRDefault="00B32462" w:rsidP="00B32462">
      <w:pPr>
        <w:spacing w:after="0" w:line="240" w:lineRule="auto"/>
        <w:rPr>
          <w:rFonts w:ascii="Calibri" w:eastAsia="Times New Roman" w:hAnsi="Calibri" w:cs="Calibri"/>
          <w:color w:val="000000"/>
          <w:kern w:val="0"/>
          <w:sz w:val="22"/>
          <w:szCs w:val="22"/>
          <w14:ligatures w14:val="none"/>
        </w:rPr>
      </w:pPr>
    </w:p>
    <w:p w14:paraId="058C72D7" w14:textId="506E08C0" w:rsidR="002E4BBA" w:rsidRDefault="002E4BBA" w:rsidP="00E60AE9">
      <w:r>
        <w:t>to get streamflow data</w:t>
      </w:r>
    </w:p>
    <w:p w14:paraId="26A1112A" w14:textId="16C0BDD1" w:rsidR="00341CA2" w:rsidRDefault="00000000" w:rsidP="00341CA2">
      <w:hyperlink r:id="rId14" w:history="1">
        <w:r w:rsidR="00341CA2" w:rsidRPr="00341CA2">
          <w:rPr>
            <w:rStyle w:val="Hyperlink"/>
          </w:rPr>
          <w:t>Water Resource Modeling of the Colorado River: Present and Future Strategies</w:t>
        </w:r>
      </w:hyperlink>
    </w:p>
    <w:p w14:paraId="32B4C90D" w14:textId="12B4E964" w:rsidR="00341CA2" w:rsidRDefault="00000000" w:rsidP="00341CA2">
      <w:hyperlink r:id="rId15" w:history="1">
        <w:r w:rsidR="00E00627" w:rsidRPr="00452405">
          <w:rPr>
            <w:rStyle w:val="Hyperlink"/>
          </w:rPr>
          <w:t>https://engaging-data.com/colorado-river-reservoir-levels/</w:t>
        </w:r>
      </w:hyperlink>
    </w:p>
    <w:p w14:paraId="0D04746C" w14:textId="5E0AE4C8" w:rsidR="00E00627" w:rsidRDefault="00E00627" w:rsidP="00341CA2">
      <w:r>
        <w:t xml:space="preserve">This will help us to know the status </w:t>
      </w:r>
      <w:r w:rsidR="0056104F">
        <w:t>of reservoirs (also very cool infographics)</w:t>
      </w:r>
    </w:p>
    <w:p w14:paraId="0BBD7CEF" w14:textId="28BAC672" w:rsidR="00D559C0" w:rsidRDefault="00000000">
      <w:hyperlink r:id="rId16" w:history="1">
        <w:r w:rsidR="00D559C0" w:rsidRPr="00452405">
          <w:rPr>
            <w:rStyle w:val="Hyperlink"/>
          </w:rPr>
          <w:t>https://www.pnas.org/doi/epdf/10.1073/pnas.0812762106</w:t>
        </w:r>
      </w:hyperlink>
    </w:p>
    <w:p w14:paraId="24437257" w14:textId="0D608539" w:rsidR="00D559C0" w:rsidRDefault="00D559C0">
      <w:r>
        <w:t>Info regarding the deliveries</w:t>
      </w:r>
    </w:p>
    <w:p w14:paraId="5FB16389" w14:textId="60F7567A" w:rsidR="00341CA2" w:rsidRDefault="00341CA2">
      <w:r>
        <w:br w:type="page"/>
      </w:r>
    </w:p>
    <w:p w14:paraId="224F20A1" w14:textId="6518EE2C" w:rsidR="00341CA2" w:rsidRPr="00341CA2" w:rsidRDefault="00000000" w:rsidP="00341CA2">
      <w:pPr>
        <w:rPr>
          <w:b/>
          <w:bCs/>
        </w:rPr>
      </w:pPr>
      <w:hyperlink r:id="rId17" w:history="1">
        <w:r w:rsidR="00341CA2" w:rsidRPr="00341CA2">
          <w:rPr>
            <w:rStyle w:val="Hyperlink"/>
            <w:b/>
            <w:bCs/>
          </w:rPr>
          <w:t>The Colorado River water crisis: Its origin and the future</w:t>
        </w:r>
      </w:hyperlink>
    </w:p>
    <w:p w14:paraId="334F5507" w14:textId="33B0D7AF" w:rsidR="00341CA2" w:rsidRDefault="00341CA2" w:rsidP="00341CA2">
      <w:r>
        <w:rPr>
          <w:noProof/>
        </w:rPr>
        <w:drawing>
          <wp:inline distT="0" distB="0" distL="0" distR="0" wp14:anchorId="68364E20" wp14:editId="0875FED5">
            <wp:extent cx="3354641" cy="3619500"/>
            <wp:effectExtent l="0" t="0" r="0" b="0"/>
            <wp:docPr id="151920707" name="Picture 1"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s are in the caption following the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7367" cy="3622442"/>
                    </a:xfrm>
                    <a:prstGeom prst="rect">
                      <a:avLst/>
                    </a:prstGeom>
                    <a:noFill/>
                    <a:ln>
                      <a:noFill/>
                    </a:ln>
                  </pic:spPr>
                </pic:pic>
              </a:graphicData>
            </a:graphic>
          </wp:inline>
        </w:drawing>
      </w:r>
    </w:p>
    <w:p w14:paraId="13E0DB91" w14:textId="2531B32C" w:rsidR="006E2F0C" w:rsidRDefault="006E2F0C">
      <w:r>
        <w:br w:type="page"/>
      </w:r>
    </w:p>
    <w:p w14:paraId="2E7AC3D1" w14:textId="782762B7" w:rsidR="00580B16" w:rsidRDefault="00580B16" w:rsidP="00580B16">
      <w:r>
        <w:lastRenderedPageBreak/>
        <w:t xml:space="preserve">Colorado river is governed by two treaties: </w:t>
      </w:r>
      <w:r w:rsidRPr="00580B16">
        <w:t>1922 Colorado River Compact</w:t>
      </w:r>
      <w:r>
        <w:t xml:space="preserve"> (Law of the river)</w:t>
      </w:r>
      <w:r w:rsidRPr="00580B16">
        <w:t xml:space="preserve"> and the 1944 Treaty between the United States and Mexico</w:t>
      </w:r>
      <w:r>
        <w:t>.</w:t>
      </w:r>
    </w:p>
    <w:p w14:paraId="248AFDE1" w14:textId="77777777" w:rsidR="00580B16" w:rsidRDefault="00580B16" w:rsidP="00580B16">
      <w:r>
        <w:t xml:space="preserve">The compact divided </w:t>
      </w:r>
      <w:r w:rsidR="006E2F0C">
        <w:t>Colorado</w:t>
      </w:r>
      <w:r>
        <w:t xml:space="preserve"> river into two</w:t>
      </w:r>
      <w:r w:rsidR="006E2F0C">
        <w:t xml:space="preserve">: Lower and Upper basin. </w:t>
      </w:r>
    </w:p>
    <w:p w14:paraId="2A1B9BAF" w14:textId="7238D712" w:rsidR="00580B16" w:rsidRDefault="00580B16" w:rsidP="00580B16">
      <w:r>
        <w:t xml:space="preserve">Lower basin: </w:t>
      </w:r>
      <w:r w:rsidRPr="00580B16">
        <w:t>Arizona, Nevada, and California</w:t>
      </w:r>
    </w:p>
    <w:p w14:paraId="4E522C90" w14:textId="613AE763" w:rsidR="00580B16" w:rsidRDefault="00580B16" w:rsidP="002742AB">
      <w:r>
        <w:t xml:space="preserve">Upper basin: </w:t>
      </w:r>
      <w:r w:rsidRPr="00580B16">
        <w:t>Colorado, New Mexico, Utah, Wyoming</w:t>
      </w:r>
      <w:r w:rsidR="002742AB">
        <w:t>, Arizona</w:t>
      </w:r>
    </w:p>
    <w:p w14:paraId="55B720C6" w14:textId="0091CAB2" w:rsidR="00580B16" w:rsidRDefault="00580B16" w:rsidP="002742AB">
      <w:r>
        <w:t>Each basin gets 7.5 maf/yr of consumptive use. Mexico gets 1.5 maf/yr</w:t>
      </w:r>
      <w:r w:rsidR="002742AB">
        <w:t xml:space="preserve"> </w:t>
      </w:r>
      <w:r w:rsidR="002742AB" w:rsidRPr="002742AB">
        <w:t>plus an additional 200,000 af when a surplus is declared</w:t>
      </w:r>
    </w:p>
    <w:p w14:paraId="135E21F8" w14:textId="2F82A4EA" w:rsidR="002742AB" w:rsidRDefault="002742AB" w:rsidP="002742AB">
      <w:r>
        <w:t>Total: 16.5 maf/yr is allocated for consumptive use.</w:t>
      </w:r>
    </w:p>
    <w:p w14:paraId="6D63AFEE" w14:textId="4CE92CA1" w:rsidR="00580B16" w:rsidRDefault="00580B16" w:rsidP="00580B16">
      <w:r w:rsidRPr="00580B16">
        <w:t>The Compact also required the Upper Basin not to deplete the river’s flow to less than 75 MAF during any 10 consecutive years</w:t>
      </w:r>
      <w:r>
        <w:t>.</w:t>
      </w:r>
    </w:p>
    <w:p w14:paraId="32037343" w14:textId="77777777" w:rsidR="00580B16" w:rsidRDefault="00580B16" w:rsidP="00580B16">
      <w:r>
        <w:t>The 2 largest reservoirs are:</w:t>
      </w:r>
    </w:p>
    <w:p w14:paraId="7EB3779F" w14:textId="6C63103C" w:rsidR="00E60AE9" w:rsidRDefault="00580B16" w:rsidP="00580B16">
      <w:pPr>
        <w:pStyle w:val="ListParagraph"/>
        <w:numPr>
          <w:ilvl w:val="0"/>
          <w:numId w:val="1"/>
        </w:numPr>
      </w:pPr>
      <w:r>
        <w:t xml:space="preserve">Lake Powell: For Upper Basin users (to </w:t>
      </w:r>
      <w:r w:rsidRPr="00580B16">
        <w:t>avoid violation of the non-depletion obligation</w:t>
      </w:r>
      <w:r>
        <w:t>)</w:t>
      </w:r>
    </w:p>
    <w:p w14:paraId="5B3EE0E6" w14:textId="05EEDBD8" w:rsidR="00580B16" w:rsidRDefault="00580B16" w:rsidP="00580B16">
      <w:pPr>
        <w:pStyle w:val="ListParagraph"/>
        <w:numPr>
          <w:ilvl w:val="0"/>
          <w:numId w:val="1"/>
        </w:numPr>
      </w:pPr>
      <w:r w:rsidRPr="00580B16">
        <w:t>Lake Mead</w:t>
      </w:r>
      <w:r w:rsidR="009D6531">
        <w:t>/Hoover Dam</w:t>
      </w:r>
      <w:r>
        <w:t>: For Lower Basin users</w:t>
      </w:r>
    </w:p>
    <w:p w14:paraId="3393AC8B" w14:textId="3024F94D" w:rsidR="002742AB" w:rsidRDefault="002742AB" w:rsidP="002742AB">
      <w:r>
        <w:t xml:space="preserve">Lower Basin users and Mexico use all their 9 maf/yr </w:t>
      </w:r>
      <w:r w:rsidRPr="002742AB">
        <w:t>apportionment </w:t>
      </w:r>
      <w:r>
        <w:t xml:space="preserve">of the Colorado river whereas </w:t>
      </w:r>
      <w:r w:rsidRPr="002742AB">
        <w:t>Upper Basin consumptive uses averaged 3.7 MAF/year</w:t>
      </w:r>
      <w:r>
        <w:t>.</w:t>
      </w:r>
    </w:p>
    <w:p w14:paraId="38C941C8" w14:textId="77777777" w:rsidR="001C2C6E" w:rsidRDefault="001C2C6E" w:rsidP="002742AB"/>
    <w:p w14:paraId="7DA34AE0" w14:textId="798E5EBB" w:rsidR="001C2C6E" w:rsidRDefault="001C2C6E" w:rsidP="009D6531">
      <w:r w:rsidRPr="001C2C6E">
        <w:t xml:space="preserve">In the Lower Basin, Hoover Dam, completed in 1936, provides the majority of the Lower Basin’s storage and generates about 4.2 billion KWh of electricity per year for customers in California, Arizona, and Nevada.34 Also important for Lower Basin Operations are Davis Dam/Lake Mohave, which regulates flows to Mexico under the 1944 Treaty, and Parker Dam/Lake Havasu, which impounds water for diversion into the Colorado River Aqueduct (thereby allowing for deliveries to urban areas in southern California) and CAP (allowing for diversion to users in Arizona). Further downstream on the Arizona/California border, Imperial Dam (a diversion dam) diverts Colorado River water to the </w:t>
      </w:r>
      <w:r w:rsidR="009D6531" w:rsidRPr="001C2C6E">
        <w:t>All American</w:t>
      </w:r>
      <w:r w:rsidRPr="001C2C6E">
        <w:t xml:space="preserve"> Canal for use in California’s Imperial and Coachella Valleys</w:t>
      </w:r>
      <w:r w:rsidR="009D6531">
        <w:t xml:space="preserve"> </w:t>
      </w:r>
      <w:r w:rsidR="009D6531">
        <w:fldChar w:fldCharType="begin"/>
      </w:r>
      <w:r w:rsidR="009D6531">
        <w:instrText xml:space="preserve"> ADDIN ZOTERO_ITEM CSL_CITATION {"citationID":"g9242ReX","properties":{"formattedCitation":"(Stern et al., n.d.)","plainCitation":"(Stern et al., n.d.)","noteIndex":0},"citationItems":[{"id":38,"uris":["http://zotero.org/users/local/uV6ZLHVO/items/8B4JS8NU"],"itemData":{"id":38,"type":"article-journal","language":"en","source":"Zotero","title":"Management of the Colorado River: Water Allocations, Drought, and the Federal Role","author":[{"family":"Stern","given":"Charles V"},{"family":"Sheikh","given":"Pervaze A"},{"family":"Hite","given":"Kristen"}]}}],"schema":"https://github.com/citation-style-language/schema/raw/master/csl-citation.json"} </w:instrText>
      </w:r>
      <w:r w:rsidR="009D6531">
        <w:fldChar w:fldCharType="separate"/>
      </w:r>
      <w:r w:rsidR="009D6531" w:rsidRPr="009D6531">
        <w:rPr>
          <w:rFonts w:ascii="Aptos" w:hAnsi="Aptos"/>
        </w:rPr>
        <w:t>(Stern et al., n.d.)</w:t>
      </w:r>
      <w:r w:rsidR="009D6531">
        <w:fldChar w:fldCharType="end"/>
      </w:r>
      <w:r w:rsidR="009D6531">
        <w:t>.</w:t>
      </w:r>
    </w:p>
    <w:p w14:paraId="6F8D80B2" w14:textId="77777777" w:rsidR="009D6531" w:rsidRDefault="009D6531" w:rsidP="009D6531">
      <w:r>
        <w:t xml:space="preserve">In 2003 Quantification settlement agreement was signed. This agreement </w:t>
      </w:r>
      <w:r w:rsidRPr="009D6531">
        <w:t>defined the rights to a portion of Colorado River water for</w:t>
      </w:r>
      <w:r>
        <w:t>:</w:t>
      </w:r>
      <w:r w:rsidRPr="009D6531">
        <w:t xml:space="preserve"> </w:t>
      </w:r>
    </w:p>
    <w:p w14:paraId="1CE8BD17" w14:textId="77777777" w:rsidR="009D6531" w:rsidRDefault="009D6531" w:rsidP="009D6531">
      <w:pPr>
        <w:pStyle w:val="ListParagraph"/>
        <w:numPr>
          <w:ilvl w:val="0"/>
          <w:numId w:val="2"/>
        </w:numPr>
      </w:pPr>
      <w:r w:rsidRPr="009D6531">
        <w:t>San Diego County Water Authority</w:t>
      </w:r>
    </w:p>
    <w:p w14:paraId="025C3AC4" w14:textId="77777777" w:rsidR="009D6531" w:rsidRDefault="009D6531" w:rsidP="009D6531">
      <w:pPr>
        <w:pStyle w:val="ListParagraph"/>
        <w:numPr>
          <w:ilvl w:val="0"/>
          <w:numId w:val="2"/>
        </w:numPr>
      </w:pPr>
      <w:r w:rsidRPr="009D6531">
        <w:t>Coachella Valley Water District</w:t>
      </w:r>
    </w:p>
    <w:p w14:paraId="233F9402" w14:textId="77777777" w:rsidR="009D6531" w:rsidRDefault="009D6531" w:rsidP="009D6531">
      <w:pPr>
        <w:pStyle w:val="ListParagraph"/>
        <w:numPr>
          <w:ilvl w:val="0"/>
          <w:numId w:val="2"/>
        </w:numPr>
      </w:pPr>
      <w:r w:rsidRPr="009D6531">
        <w:t xml:space="preserve">Imperial Irrigation District </w:t>
      </w:r>
    </w:p>
    <w:p w14:paraId="3C44E0E5" w14:textId="4721AD5F" w:rsidR="009D6531" w:rsidRDefault="009D6531" w:rsidP="009D6531">
      <w:pPr>
        <w:pStyle w:val="ListParagraph"/>
        <w:numPr>
          <w:ilvl w:val="0"/>
          <w:numId w:val="2"/>
        </w:numPr>
      </w:pPr>
      <w:r w:rsidRPr="009D6531">
        <w:lastRenderedPageBreak/>
        <w:t>Metropolitan Water District of Southern California</w:t>
      </w:r>
    </w:p>
    <w:p w14:paraId="108B6AD2" w14:textId="38A20DF3" w:rsidR="009D6531" w:rsidRDefault="009D6531" w:rsidP="009D6531">
      <w:r>
        <w:t>The Quantification Settlement Agreement confirmed:</w:t>
      </w:r>
    </w:p>
    <w:p w14:paraId="4F8DC391" w14:textId="77777777" w:rsidR="009D6531" w:rsidRDefault="009D6531" w:rsidP="009D6531">
      <w:pPr>
        <w:pStyle w:val="ListParagraph"/>
        <w:numPr>
          <w:ilvl w:val="0"/>
          <w:numId w:val="3"/>
        </w:numPr>
      </w:pPr>
      <w:r>
        <w:t>the Imperial Irrigation District’s Colorado River annual allotment at 3.1 million acre-feet</w:t>
      </w:r>
    </w:p>
    <w:p w14:paraId="42F49AA4" w14:textId="0C94843F" w:rsidR="009D6531" w:rsidRDefault="009D6531" w:rsidP="009D6531">
      <w:pPr>
        <w:pStyle w:val="ListParagraph"/>
        <w:numPr>
          <w:ilvl w:val="0"/>
          <w:numId w:val="3"/>
        </w:numPr>
      </w:pPr>
      <w:r>
        <w:t>the Coachella Valley Water District’s Colorado River annual allotment at 330,000 acre-feet</w:t>
      </w:r>
    </w:p>
    <w:p w14:paraId="751E7C44" w14:textId="053D72F9" w:rsidR="009D6531" w:rsidRDefault="009D6531" w:rsidP="009D6531">
      <w:r>
        <w:t>The Quantification Settlement Agreement also established:</w:t>
      </w:r>
    </w:p>
    <w:p w14:paraId="2D9235B7" w14:textId="77777777" w:rsidR="009D6531" w:rsidRDefault="009D6531" w:rsidP="009D6531">
      <w:pPr>
        <w:pStyle w:val="ListParagraph"/>
        <w:numPr>
          <w:ilvl w:val="0"/>
          <w:numId w:val="4"/>
        </w:numPr>
      </w:pPr>
      <w:r>
        <w:t>the IID-San Diego County Water Authority water transfer</w:t>
      </w:r>
    </w:p>
    <w:p w14:paraId="5D236E71" w14:textId="77777777" w:rsidR="009D6531" w:rsidRDefault="009D6531" w:rsidP="009D6531">
      <w:pPr>
        <w:pStyle w:val="ListParagraph"/>
        <w:numPr>
          <w:ilvl w:val="0"/>
          <w:numId w:val="4"/>
        </w:numPr>
      </w:pPr>
      <w:r>
        <w:t>A transfer of 105,000 acre-feet annually between IID and Metropolitan</w:t>
      </w:r>
    </w:p>
    <w:p w14:paraId="173DD818" w14:textId="385F56BA" w:rsidR="009D6531" w:rsidRDefault="009D6531" w:rsidP="009D6531">
      <w:pPr>
        <w:pStyle w:val="ListParagraph"/>
        <w:numPr>
          <w:ilvl w:val="0"/>
          <w:numId w:val="4"/>
        </w:numPr>
      </w:pPr>
      <w:r>
        <w:t>A transfer of as much as 103,000 acre-feet annually between Imperial and the Coachella Valley district</w:t>
      </w:r>
      <w:r w:rsidR="0083198B">
        <w:t xml:space="preserve"> </w:t>
      </w:r>
      <w:r w:rsidR="0083198B">
        <w:fldChar w:fldCharType="begin"/>
      </w:r>
      <w:r w:rsidR="0083198B">
        <w:instrText xml:space="preserve"> ADDIN ZOTERO_ITEM CSL_CITATION {"citationID":"sd9ZOamj","properties":{"formattedCitation":"({\\i{}Quantification Settlement Agreement}, 2020; San Diego County Water Authority, n.d.)","plainCitation":"(Quantification Settlement Agreement, 2020; San Diego County Water Authority, n.d.)","noteIndex":0},"citationItems":[{"id":39,"uris":["http://zotero.org/users/local/uV6ZLHVO/items/AXGBUKWG"],"itemData":{"id":39,"type":"webpage","abstract":"The Quantification Settlement Agreement (QSA), signed in 2003, defined the rights to a portion of Colorado River water for ...","container-title":"Water Education Foundation","language":"en","title":"Quantification Settlement Agreement","URL":"https://www.watereducation.org/aquapedia/quantification-settlement-agreement","accessed":{"date-parts":[["2024",8,14]]},"issued":{"date-parts":[["2020",6,22]]}}},{"id":41,"uris":["http://zotero.org/users/local/uV6ZLHVO/items/HXEUD8RF"],"itemData":{"id":41,"type":"document","title":"Quantification Settlement Agreement For the Colorado River","URL":"https://www.sdcwa.org/sites/default/files/qsa-fs.pdf","author":[{"family":"San Diego County Water Authority","given":""}]}}],"schema":"https://github.com/citation-style-language/schema/raw/master/csl-citation.json"} </w:instrText>
      </w:r>
      <w:r w:rsidR="0083198B">
        <w:fldChar w:fldCharType="separate"/>
      </w:r>
      <w:r w:rsidR="0083198B" w:rsidRPr="0083198B">
        <w:rPr>
          <w:rFonts w:ascii="Aptos" w:hAnsi="Aptos" w:cs="Times New Roman"/>
          <w:kern w:val="0"/>
        </w:rPr>
        <w:t>(</w:t>
      </w:r>
      <w:r w:rsidR="0083198B" w:rsidRPr="0083198B">
        <w:rPr>
          <w:rFonts w:ascii="Aptos" w:hAnsi="Aptos" w:cs="Times New Roman"/>
          <w:i/>
          <w:iCs/>
          <w:kern w:val="0"/>
        </w:rPr>
        <w:t>Quantification Settlement Agreement</w:t>
      </w:r>
      <w:r w:rsidR="0083198B" w:rsidRPr="0083198B">
        <w:rPr>
          <w:rFonts w:ascii="Aptos" w:hAnsi="Aptos" w:cs="Times New Roman"/>
          <w:kern w:val="0"/>
        </w:rPr>
        <w:t>, 2020; San Diego County Water Authority, n.d.)</w:t>
      </w:r>
      <w:r w:rsidR="0083198B">
        <w:fldChar w:fldCharType="end"/>
      </w:r>
    </w:p>
    <w:p w14:paraId="3DB62F32" w14:textId="18850459" w:rsidR="0083198B" w:rsidRDefault="0083198B" w:rsidP="00E44977">
      <w:r w:rsidRPr="0083198B">
        <w:drawing>
          <wp:inline distT="0" distB="0" distL="0" distR="0" wp14:anchorId="7575C542" wp14:editId="75FFD58A">
            <wp:extent cx="3639058" cy="3315163"/>
            <wp:effectExtent l="0" t="0" r="0" b="0"/>
            <wp:docPr id="314135416" name="Picture 1" descr="A graph of water supp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35416" name="Picture 1" descr="A graph of water supply&#10;&#10;Description automatically generated"/>
                    <pic:cNvPicPr/>
                  </pic:nvPicPr>
                  <pic:blipFill>
                    <a:blip r:embed="rId19"/>
                    <a:stretch>
                      <a:fillRect/>
                    </a:stretch>
                  </pic:blipFill>
                  <pic:spPr>
                    <a:xfrm>
                      <a:off x="0" y="0"/>
                      <a:ext cx="3639058" cy="3315163"/>
                    </a:xfrm>
                    <a:prstGeom prst="rect">
                      <a:avLst/>
                    </a:prstGeom>
                  </pic:spPr>
                </pic:pic>
              </a:graphicData>
            </a:graphic>
          </wp:inline>
        </w:drawing>
      </w:r>
    </w:p>
    <w:p w14:paraId="3CF32307" w14:textId="6F003235" w:rsidR="002742AB" w:rsidRDefault="002742AB" w:rsidP="002742AB">
      <w:r w:rsidRPr="002742AB">
        <w:rPr>
          <w:noProof/>
        </w:rPr>
        <w:lastRenderedPageBreak/>
        <w:drawing>
          <wp:inline distT="0" distB="0" distL="0" distR="0" wp14:anchorId="75931802" wp14:editId="5E9559D7">
            <wp:extent cx="5943600" cy="4262120"/>
            <wp:effectExtent l="0" t="0" r="0" b="5080"/>
            <wp:docPr id="292983056"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83056" name="Picture 1" descr="A screenshot of a document&#10;&#10;Description automatically generated"/>
                    <pic:cNvPicPr/>
                  </pic:nvPicPr>
                  <pic:blipFill>
                    <a:blip r:embed="rId20"/>
                    <a:stretch>
                      <a:fillRect/>
                    </a:stretch>
                  </pic:blipFill>
                  <pic:spPr>
                    <a:xfrm>
                      <a:off x="0" y="0"/>
                      <a:ext cx="5943600" cy="4262120"/>
                    </a:xfrm>
                    <a:prstGeom prst="rect">
                      <a:avLst/>
                    </a:prstGeom>
                  </pic:spPr>
                </pic:pic>
              </a:graphicData>
            </a:graphic>
          </wp:inline>
        </w:drawing>
      </w:r>
    </w:p>
    <w:p w14:paraId="1F224CF9" w14:textId="77777777" w:rsidR="00565635" w:rsidRDefault="00565635" w:rsidP="002742AB"/>
    <w:p w14:paraId="6435BEB2" w14:textId="2461E501" w:rsidR="00565635" w:rsidRDefault="00E44977" w:rsidP="00F86B2E">
      <w:r w:rsidRPr="00E44977">
        <w:t xml:space="preserve">The two largest reservoirs in the Colorado River system, Lake Mead and Lake Powell, have been steadily declining </w:t>
      </w:r>
      <w:r>
        <w:t>the past 20 years as shown in the figure below</w:t>
      </w:r>
      <w:r w:rsidRPr="00E44977">
        <w:t>.</w:t>
      </w:r>
      <w:r w:rsidR="00F86B2E">
        <w:t xml:space="preserve"> Keep in mind </w:t>
      </w:r>
      <w:r w:rsidR="00F86B2E">
        <w:t xml:space="preserve">Lake Havasu and Lake </w:t>
      </w:r>
      <w:r w:rsidR="00F86B2E" w:rsidRPr="001C2C6E">
        <w:t>Mohave</w:t>
      </w:r>
      <w:r w:rsidR="00F86B2E">
        <w:t xml:space="preserve"> which have much lower storage because Lake Havasu is used for diversions to MWD and Lake </w:t>
      </w:r>
      <w:r w:rsidR="00F86B2E" w:rsidRPr="001C2C6E">
        <w:t>Mohave</w:t>
      </w:r>
      <w:r w:rsidR="00F86B2E">
        <w:t xml:space="preserve"> for diversions to Mexico</w:t>
      </w:r>
      <w:r w:rsidR="00F86B2E">
        <w:t>.</w:t>
      </w:r>
    </w:p>
    <w:p w14:paraId="56570E26" w14:textId="0646FDF9" w:rsidR="00E44977" w:rsidRDefault="00E44977" w:rsidP="00E44977">
      <w:r w:rsidRPr="00E44977">
        <w:drawing>
          <wp:inline distT="0" distB="0" distL="0" distR="0" wp14:anchorId="6C8A0056" wp14:editId="09BCFF93">
            <wp:extent cx="4588244" cy="2276475"/>
            <wp:effectExtent l="0" t="0" r="3175" b="0"/>
            <wp:docPr id="88791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12561" name=""/>
                    <pic:cNvPicPr/>
                  </pic:nvPicPr>
                  <pic:blipFill>
                    <a:blip r:embed="rId21"/>
                    <a:stretch>
                      <a:fillRect/>
                    </a:stretch>
                  </pic:blipFill>
                  <pic:spPr>
                    <a:xfrm>
                      <a:off x="0" y="0"/>
                      <a:ext cx="4591227" cy="2277955"/>
                    </a:xfrm>
                    <a:prstGeom prst="rect">
                      <a:avLst/>
                    </a:prstGeom>
                  </pic:spPr>
                </pic:pic>
              </a:graphicData>
            </a:graphic>
          </wp:inline>
        </w:drawing>
      </w:r>
    </w:p>
    <w:p w14:paraId="35FA0155" w14:textId="0911F1E6" w:rsidR="00B65A54" w:rsidRDefault="00B65A54" w:rsidP="00E44977">
      <w:r>
        <w:lastRenderedPageBreak/>
        <w:t xml:space="preserve">The sequence of lower Colorado basin </w:t>
      </w:r>
      <w:r w:rsidR="006C100E">
        <w:t xml:space="preserve">reservoirs/dams </w:t>
      </w:r>
      <w:r>
        <w:t>is the following:</w:t>
      </w:r>
    </w:p>
    <w:p w14:paraId="2BB64775" w14:textId="3899A17F" w:rsidR="00B65A54" w:rsidRDefault="00B65A54" w:rsidP="00E44977">
      <w:r>
        <w:t xml:space="preserve">Hoover Dam/Lake </w:t>
      </w:r>
      <w:r w:rsidR="006C100E">
        <w:t>Mead, Davis Dam/Lake Mohave, Parker Dam/Lake Havasu, Palo Verde Diversion Dam, Imperial Dam. (Other minor dams have been omitted, more can be found on excel)</w:t>
      </w:r>
    </w:p>
    <w:p w14:paraId="29791339" w14:textId="01AC6FE5" w:rsidR="006C100E" w:rsidRDefault="006C100E" w:rsidP="00E44977">
      <w:r>
        <w:t>Lake Havasu: Colorado River Aqueduct</w:t>
      </w:r>
    </w:p>
    <w:p w14:paraId="78FD5DB8" w14:textId="59720F23" w:rsidR="006C100E" w:rsidRDefault="006C100E" w:rsidP="00E44977">
      <w:r>
        <w:t>Palo Verde Diversion Dam</w:t>
      </w:r>
      <w:r>
        <w:t xml:space="preserve">: </w:t>
      </w:r>
    </w:p>
    <w:p w14:paraId="456C0424" w14:textId="0BA10250" w:rsidR="006C100E" w:rsidRDefault="006C100E" w:rsidP="00E44977">
      <w:r>
        <w:t>Imperial Dam: All American Canal</w:t>
      </w:r>
    </w:p>
    <w:p w14:paraId="0283AD9F" w14:textId="70580769" w:rsidR="00890CA4" w:rsidRDefault="007A0A72" w:rsidP="00E44977">
      <w:r>
        <w:t>MWD</w:t>
      </w:r>
    </w:p>
    <w:p w14:paraId="42EB7EA3" w14:textId="0F564B5C" w:rsidR="007A0A72" w:rsidRDefault="007A0A72" w:rsidP="00E44977">
      <w:r>
        <w:rPr>
          <w:noProof/>
        </w:rPr>
        <w:drawing>
          <wp:inline distT="0" distB="0" distL="0" distR="0" wp14:anchorId="7C95B5D3" wp14:editId="4C69744C">
            <wp:extent cx="5943600" cy="2962910"/>
            <wp:effectExtent l="0" t="0" r="0" b="8890"/>
            <wp:docPr id="1852357913" name="Chart 1">
              <a:extLst xmlns:a="http://schemas.openxmlformats.org/drawingml/2006/main">
                <a:ext uri="{FF2B5EF4-FFF2-40B4-BE49-F238E27FC236}">
                  <a16:creationId xmlns:a16="http://schemas.microsoft.com/office/drawing/2014/main" id="{49B28B23-0DF9-97DC-141A-02AEDB39C6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06DD91A" w14:textId="6ED0C640" w:rsidR="007A0A72" w:rsidRDefault="007A0A72" w:rsidP="00E44977">
      <w:r>
        <w:t>Diversions in some years seem to be higher than what MWD claims to have received. This is weird. If we look at 2010, 2011, 2012 reports for consumptive use its almost the same as diversions.</w:t>
      </w:r>
      <w:r w:rsidR="00054653">
        <w:t xml:space="preserve"> It could be SDCWA is getting some of the waters that is diverted to MWD. In 2010 and 2011 exchange between MWD and SDCWA happened where MWD received 150 taf /yr</w:t>
      </w:r>
    </w:p>
    <w:p w14:paraId="1B9C8CD6" w14:textId="77777777" w:rsidR="00890CA4" w:rsidRDefault="00890CA4" w:rsidP="00E44977"/>
    <w:p w14:paraId="5A5155AD" w14:textId="77777777" w:rsidR="00890CA4" w:rsidRDefault="00890CA4" w:rsidP="00E44977"/>
    <w:sectPr w:rsidR="00890C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08444C"/>
    <w:multiLevelType w:val="hybridMultilevel"/>
    <w:tmpl w:val="B9440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895CB8"/>
    <w:multiLevelType w:val="hybridMultilevel"/>
    <w:tmpl w:val="7ACE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956976"/>
    <w:multiLevelType w:val="hybridMultilevel"/>
    <w:tmpl w:val="97C86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65065D"/>
    <w:multiLevelType w:val="hybridMultilevel"/>
    <w:tmpl w:val="BA3C1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9978973">
    <w:abstractNumId w:val="2"/>
  </w:num>
  <w:num w:numId="2" w16cid:durableId="643896431">
    <w:abstractNumId w:val="1"/>
  </w:num>
  <w:num w:numId="3" w16cid:durableId="686713529">
    <w:abstractNumId w:val="0"/>
  </w:num>
  <w:num w:numId="4" w16cid:durableId="16181021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A0E"/>
    <w:rsid w:val="00003FDE"/>
    <w:rsid w:val="00054653"/>
    <w:rsid w:val="001C2C6E"/>
    <w:rsid w:val="001F6ECC"/>
    <w:rsid w:val="002742AB"/>
    <w:rsid w:val="00286553"/>
    <w:rsid w:val="002E4BBA"/>
    <w:rsid w:val="003044AA"/>
    <w:rsid w:val="003152AF"/>
    <w:rsid w:val="00330C1B"/>
    <w:rsid w:val="00341CA2"/>
    <w:rsid w:val="00407A0E"/>
    <w:rsid w:val="0056104F"/>
    <w:rsid w:val="00565635"/>
    <w:rsid w:val="00580B16"/>
    <w:rsid w:val="005947E3"/>
    <w:rsid w:val="006778B6"/>
    <w:rsid w:val="006C100E"/>
    <w:rsid w:val="006E2F0C"/>
    <w:rsid w:val="007A0A72"/>
    <w:rsid w:val="0083198B"/>
    <w:rsid w:val="00890CA4"/>
    <w:rsid w:val="009D6531"/>
    <w:rsid w:val="009E3FCE"/>
    <w:rsid w:val="00A7130E"/>
    <w:rsid w:val="00B32462"/>
    <w:rsid w:val="00B65A54"/>
    <w:rsid w:val="00BD5699"/>
    <w:rsid w:val="00C171D3"/>
    <w:rsid w:val="00D559C0"/>
    <w:rsid w:val="00E00627"/>
    <w:rsid w:val="00E44977"/>
    <w:rsid w:val="00E60AE9"/>
    <w:rsid w:val="00F86B2E"/>
    <w:rsid w:val="00FA72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8392C"/>
  <w15:chartTrackingRefBased/>
  <w15:docId w15:val="{36B3A7F8-1D1C-4101-946D-974F44BA8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7A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7A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7A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7A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7A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7A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7A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7A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7A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A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7A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7A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7A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7A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7A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7A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7A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7A0E"/>
    <w:rPr>
      <w:rFonts w:eastAsiaTheme="majorEastAsia" w:cstheme="majorBidi"/>
      <w:color w:val="272727" w:themeColor="text1" w:themeTint="D8"/>
    </w:rPr>
  </w:style>
  <w:style w:type="paragraph" w:styleId="Title">
    <w:name w:val="Title"/>
    <w:basedOn w:val="Normal"/>
    <w:next w:val="Normal"/>
    <w:link w:val="TitleChar"/>
    <w:uiPriority w:val="10"/>
    <w:qFormat/>
    <w:rsid w:val="00407A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A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7A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7A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7A0E"/>
    <w:pPr>
      <w:spacing w:before="160"/>
      <w:jc w:val="center"/>
    </w:pPr>
    <w:rPr>
      <w:i/>
      <w:iCs/>
      <w:color w:val="404040" w:themeColor="text1" w:themeTint="BF"/>
    </w:rPr>
  </w:style>
  <w:style w:type="character" w:customStyle="1" w:styleId="QuoteChar">
    <w:name w:val="Quote Char"/>
    <w:basedOn w:val="DefaultParagraphFont"/>
    <w:link w:val="Quote"/>
    <w:uiPriority w:val="29"/>
    <w:rsid w:val="00407A0E"/>
    <w:rPr>
      <w:i/>
      <w:iCs/>
      <w:color w:val="404040" w:themeColor="text1" w:themeTint="BF"/>
    </w:rPr>
  </w:style>
  <w:style w:type="paragraph" w:styleId="ListParagraph">
    <w:name w:val="List Paragraph"/>
    <w:basedOn w:val="Normal"/>
    <w:uiPriority w:val="34"/>
    <w:qFormat/>
    <w:rsid w:val="00407A0E"/>
    <w:pPr>
      <w:ind w:left="720"/>
      <w:contextualSpacing/>
    </w:pPr>
  </w:style>
  <w:style w:type="character" w:styleId="IntenseEmphasis">
    <w:name w:val="Intense Emphasis"/>
    <w:basedOn w:val="DefaultParagraphFont"/>
    <w:uiPriority w:val="21"/>
    <w:qFormat/>
    <w:rsid w:val="00407A0E"/>
    <w:rPr>
      <w:i/>
      <w:iCs/>
      <w:color w:val="0F4761" w:themeColor="accent1" w:themeShade="BF"/>
    </w:rPr>
  </w:style>
  <w:style w:type="paragraph" w:styleId="IntenseQuote">
    <w:name w:val="Intense Quote"/>
    <w:basedOn w:val="Normal"/>
    <w:next w:val="Normal"/>
    <w:link w:val="IntenseQuoteChar"/>
    <w:uiPriority w:val="30"/>
    <w:qFormat/>
    <w:rsid w:val="00407A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7A0E"/>
    <w:rPr>
      <w:i/>
      <w:iCs/>
      <w:color w:val="0F4761" w:themeColor="accent1" w:themeShade="BF"/>
    </w:rPr>
  </w:style>
  <w:style w:type="character" w:styleId="IntenseReference">
    <w:name w:val="Intense Reference"/>
    <w:basedOn w:val="DefaultParagraphFont"/>
    <w:uiPriority w:val="32"/>
    <w:qFormat/>
    <w:rsid w:val="00407A0E"/>
    <w:rPr>
      <w:b/>
      <w:bCs/>
      <w:smallCaps/>
      <w:color w:val="0F4761" w:themeColor="accent1" w:themeShade="BF"/>
      <w:spacing w:val="5"/>
    </w:rPr>
  </w:style>
  <w:style w:type="character" w:styleId="Hyperlink">
    <w:name w:val="Hyperlink"/>
    <w:basedOn w:val="DefaultParagraphFont"/>
    <w:uiPriority w:val="99"/>
    <w:unhideWhenUsed/>
    <w:rsid w:val="001F6ECC"/>
    <w:rPr>
      <w:color w:val="467886" w:themeColor="hyperlink"/>
      <w:u w:val="single"/>
    </w:rPr>
  </w:style>
  <w:style w:type="character" w:styleId="UnresolvedMention">
    <w:name w:val="Unresolved Mention"/>
    <w:basedOn w:val="DefaultParagraphFont"/>
    <w:uiPriority w:val="99"/>
    <w:semiHidden/>
    <w:unhideWhenUsed/>
    <w:rsid w:val="001F6ECC"/>
    <w:rPr>
      <w:color w:val="605E5C"/>
      <w:shd w:val="clear" w:color="auto" w:fill="E1DFDD"/>
    </w:rPr>
  </w:style>
  <w:style w:type="character" w:styleId="FollowedHyperlink">
    <w:name w:val="FollowedHyperlink"/>
    <w:basedOn w:val="DefaultParagraphFont"/>
    <w:uiPriority w:val="99"/>
    <w:semiHidden/>
    <w:unhideWhenUsed/>
    <w:rsid w:val="006E2F0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82280">
      <w:bodyDiv w:val="1"/>
      <w:marLeft w:val="0"/>
      <w:marRight w:val="0"/>
      <w:marTop w:val="0"/>
      <w:marBottom w:val="0"/>
      <w:divBdr>
        <w:top w:val="none" w:sz="0" w:space="0" w:color="auto"/>
        <w:left w:val="none" w:sz="0" w:space="0" w:color="auto"/>
        <w:bottom w:val="none" w:sz="0" w:space="0" w:color="auto"/>
        <w:right w:val="none" w:sz="0" w:space="0" w:color="auto"/>
      </w:divBdr>
    </w:div>
    <w:div w:id="169293898">
      <w:bodyDiv w:val="1"/>
      <w:marLeft w:val="0"/>
      <w:marRight w:val="0"/>
      <w:marTop w:val="0"/>
      <w:marBottom w:val="0"/>
      <w:divBdr>
        <w:top w:val="none" w:sz="0" w:space="0" w:color="auto"/>
        <w:left w:val="none" w:sz="0" w:space="0" w:color="auto"/>
        <w:bottom w:val="none" w:sz="0" w:space="0" w:color="auto"/>
        <w:right w:val="none" w:sz="0" w:space="0" w:color="auto"/>
      </w:divBdr>
    </w:div>
    <w:div w:id="288361292">
      <w:bodyDiv w:val="1"/>
      <w:marLeft w:val="0"/>
      <w:marRight w:val="0"/>
      <w:marTop w:val="0"/>
      <w:marBottom w:val="0"/>
      <w:divBdr>
        <w:top w:val="none" w:sz="0" w:space="0" w:color="auto"/>
        <w:left w:val="none" w:sz="0" w:space="0" w:color="auto"/>
        <w:bottom w:val="none" w:sz="0" w:space="0" w:color="auto"/>
        <w:right w:val="none" w:sz="0" w:space="0" w:color="auto"/>
      </w:divBdr>
      <w:divsChild>
        <w:div w:id="512569288">
          <w:marLeft w:val="0"/>
          <w:marRight w:val="0"/>
          <w:marTop w:val="0"/>
          <w:marBottom w:val="0"/>
          <w:divBdr>
            <w:top w:val="none" w:sz="0" w:space="0" w:color="auto"/>
            <w:left w:val="none" w:sz="0" w:space="0" w:color="auto"/>
            <w:bottom w:val="none" w:sz="0" w:space="0" w:color="auto"/>
            <w:right w:val="none" w:sz="0" w:space="0" w:color="auto"/>
          </w:divBdr>
        </w:div>
      </w:divsChild>
    </w:div>
    <w:div w:id="342442036">
      <w:bodyDiv w:val="1"/>
      <w:marLeft w:val="0"/>
      <w:marRight w:val="0"/>
      <w:marTop w:val="0"/>
      <w:marBottom w:val="0"/>
      <w:divBdr>
        <w:top w:val="none" w:sz="0" w:space="0" w:color="auto"/>
        <w:left w:val="none" w:sz="0" w:space="0" w:color="auto"/>
        <w:bottom w:val="none" w:sz="0" w:space="0" w:color="auto"/>
        <w:right w:val="none" w:sz="0" w:space="0" w:color="auto"/>
      </w:divBdr>
    </w:div>
    <w:div w:id="568999765">
      <w:bodyDiv w:val="1"/>
      <w:marLeft w:val="0"/>
      <w:marRight w:val="0"/>
      <w:marTop w:val="0"/>
      <w:marBottom w:val="0"/>
      <w:divBdr>
        <w:top w:val="none" w:sz="0" w:space="0" w:color="auto"/>
        <w:left w:val="none" w:sz="0" w:space="0" w:color="auto"/>
        <w:bottom w:val="none" w:sz="0" w:space="0" w:color="auto"/>
        <w:right w:val="none" w:sz="0" w:space="0" w:color="auto"/>
      </w:divBdr>
    </w:div>
    <w:div w:id="2112819998">
      <w:bodyDiv w:val="1"/>
      <w:marLeft w:val="0"/>
      <w:marRight w:val="0"/>
      <w:marTop w:val="0"/>
      <w:marBottom w:val="0"/>
      <w:divBdr>
        <w:top w:val="none" w:sz="0" w:space="0" w:color="auto"/>
        <w:left w:val="none" w:sz="0" w:space="0" w:color="auto"/>
        <w:bottom w:val="none" w:sz="0" w:space="0" w:color="auto"/>
        <w:right w:val="none" w:sz="0" w:space="0" w:color="auto"/>
      </w:divBdr>
      <w:divsChild>
        <w:div w:id="10445961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sbr.gov/lc/region/g4000/NaturalFlow/Final-MethodsCmptgNatFlow.pdf" TargetMode="External"/><Relationship Id="rId13" Type="http://schemas.openxmlformats.org/officeDocument/2006/relationships/hyperlink" Target="https://waterdata.usgs.gov/nwis/current?search_criteria=huc2_cd&amp;submitted_form=introduction" TargetMode="External"/><Relationship Id="rId18" Type="http://schemas.openxmlformats.org/officeDocument/2006/relationships/image" Target="media/image2.jpe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hyperlink" Target="https://www.everycrsreport.com/files/20190321_R45546_bbcb0e946b7f42c8c312e2070e766cbecff0c0ee.pdf" TargetMode="External"/><Relationship Id="rId12" Type="http://schemas.openxmlformats.org/officeDocument/2006/relationships/hyperlink" Target="https://apps.usgs.gov/colorado-river-basin/drought-2023-water-year.html" TargetMode="External"/><Relationship Id="rId17" Type="http://schemas.openxmlformats.org/officeDocument/2006/relationships/hyperlink" Target="https://wires.onlinelibrary.wiley.com/doi/full/10.1002/wat2.1672" TargetMode="External"/><Relationship Id="rId2" Type="http://schemas.openxmlformats.org/officeDocument/2006/relationships/numbering" Target="numbering.xml"/><Relationship Id="rId16" Type="http://schemas.openxmlformats.org/officeDocument/2006/relationships/hyperlink" Target="https://www.pnas.org/doi/epdf/10.1073/pnas.0812762106"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gupubs.onlinelibrary.wiley.com/doi/full/10.1029/2021WR029753"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gaging-data.com/colorado-river-reservoir-levels/" TargetMode="External"/><Relationship Id="rId23" Type="http://schemas.openxmlformats.org/officeDocument/2006/relationships/fontTable" Target="fontTable.xml"/><Relationship Id="rId10" Type="http://schemas.openxmlformats.org/officeDocument/2006/relationships/hyperlink" Target="https://d1wqtxts1xzle7.cloudfront.net/94034779/478906149-libre.pdf?1668129127=&amp;response-content-disposition=inline%3B+filename%3DWhite_Paper_3_Managing_the_Colorado_Rive.pdf&amp;Expires=1723083228&amp;Signature=dKT--Z4zuDlgqdLxy55KqOi-pb9l4jxAWOMHFpmBnG2KWcaXKZWhXXpY-6F45~Lc7XxlnViIXdLbhZp63orzg6mnDWzUnXSGmmG-qJAxcCCNpzEIGA-nZO89etlQqFgWR7WXwqfT6zgevoV6W3VYIIkVthsq1qcopziVZwYDpLmvcX4ZVbij9XBB08I96KxCYoT8fs~9cMeEOgLqObCKJKPNILb~U13oF2ucjHonzZx02y3adC-4HS0eRxnvN62vv5663KmAnBKkOJMvfxs0ja-CBDcQvYC-v-SYBy47WI4ur4lD-6ZadsHFEr-7W7YKsRIHx29J3clImUc2T5PWyw__&amp;Key-Pair-Id=APKAJLOHF5GGSLRBV4ZA"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sciencedirect.com/science/article/pii/S0022169421007733" TargetMode="External"/><Relationship Id="rId14" Type="http://schemas.openxmlformats.org/officeDocument/2006/relationships/hyperlink" Target="https://www.researchgate.net/profile/Kevin-Wheeler-5/publication/336058345_Water_Resource_Modeling_of_the_Colorado_River_Present_and_Future_Strategies/links/5d8c79e6299bf10cff0e9112/Water-Resource-Modeling-of-the-Colorado-River-Present-and-Future-Strategies.pdf" TargetMode="External"/><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rmen\Desktop\Drought%20Indicators%20-%20SoCal\Main\MWD%20sources%20Fig%2003_sourc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Colorado!$C$2</c:f>
              <c:strCache>
                <c:ptCount val="1"/>
                <c:pt idx="0">
                  <c:v>MWD</c:v>
                </c:pt>
              </c:strCache>
            </c:strRef>
          </c:tx>
          <c:spPr>
            <a:solidFill>
              <a:schemeClr val="accent1"/>
            </a:solidFill>
            <a:ln>
              <a:noFill/>
            </a:ln>
            <a:effectLst/>
          </c:spPr>
          <c:invertIfNegative val="0"/>
          <c:cat>
            <c:numRef>
              <c:f>Colorado!$B$9:$B$42</c:f>
              <c:numCache>
                <c:formatCode>General</c:formatCode>
                <c:ptCount val="34"/>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numCache>
            </c:numRef>
          </c:cat>
          <c:val>
            <c:numRef>
              <c:f>Colorado!$C$9:$C$42</c:f>
              <c:numCache>
                <c:formatCode>#,##0</c:formatCode>
                <c:ptCount val="34"/>
                <c:pt idx="0">
                  <c:v>686000</c:v>
                </c:pt>
                <c:pt idx="1">
                  <c:v>850000</c:v>
                </c:pt>
                <c:pt idx="2">
                  <c:v>1150000</c:v>
                </c:pt>
                <c:pt idx="3">
                  <c:v>1018000</c:v>
                </c:pt>
                <c:pt idx="4">
                  <c:v>1001000</c:v>
                </c:pt>
                <c:pt idx="5">
                  <c:v>1175000</c:v>
                </c:pt>
                <c:pt idx="6">
                  <c:v>1199000</c:v>
                </c:pt>
                <c:pt idx="7">
                  <c:v>1189000</c:v>
                </c:pt>
                <c:pt idx="8">
                  <c:v>1183000</c:v>
                </c:pt>
                <c:pt idx="9">
                  <c:v>1252000</c:v>
                </c:pt>
                <c:pt idx="10">
                  <c:v>1153000</c:v>
                </c:pt>
                <c:pt idx="11">
                  <c:v>1144000</c:v>
                </c:pt>
                <c:pt idx="12">
                  <c:v>1263000</c:v>
                </c:pt>
                <c:pt idx="13">
                  <c:v>933000</c:v>
                </c:pt>
                <c:pt idx="14">
                  <c:v>1089000</c:v>
                </c:pt>
                <c:pt idx="15">
                  <c:v>1125000</c:v>
                </c:pt>
                <c:pt idx="16">
                  <c:v>941000</c:v>
                </c:pt>
                <c:pt idx="17">
                  <c:v>1072000</c:v>
                </c:pt>
                <c:pt idx="18">
                  <c:v>1217000</c:v>
                </c:pt>
                <c:pt idx="19">
                  <c:v>1245000</c:v>
                </c:pt>
                <c:pt idx="20">
                  <c:v>1198000</c:v>
                </c:pt>
                <c:pt idx="21">
                  <c:v>676000</c:v>
                </c:pt>
                <c:pt idx="22">
                  <c:v>741000</c:v>
                </c:pt>
                <c:pt idx="23">
                  <c:v>707000</c:v>
                </c:pt>
                <c:pt idx="24">
                  <c:v>514000</c:v>
                </c:pt>
                <c:pt idx="25">
                  <c:v>696000</c:v>
                </c:pt>
                <c:pt idx="26">
                  <c:v>896000</c:v>
                </c:pt>
                <c:pt idx="27">
                  <c:v>1044000</c:v>
                </c:pt>
                <c:pt idx="28">
                  <c:v>837000</c:v>
                </c:pt>
                <c:pt idx="29">
                  <c:v>445000</c:v>
                </c:pt>
                <c:pt idx="30">
                  <c:v>455000</c:v>
                </c:pt>
                <c:pt idx="31">
                  <c:v>984000</c:v>
                </c:pt>
                <c:pt idx="32">
                  <c:v>1168000</c:v>
                </c:pt>
                <c:pt idx="33">
                  <c:v>1180000</c:v>
                </c:pt>
              </c:numCache>
            </c:numRef>
          </c:val>
          <c:extLst>
            <c:ext xmlns:c16="http://schemas.microsoft.com/office/drawing/2014/chart" uri="{C3380CC4-5D6E-409C-BE32-E72D297353CC}">
              <c16:uniqueId val="{00000000-7D0B-4218-A9F6-EA37A6D79E53}"/>
            </c:ext>
          </c:extLst>
        </c:ser>
        <c:ser>
          <c:idx val="1"/>
          <c:order val="1"/>
          <c:tx>
            <c:strRef>
              <c:f>Colorado!$D$2</c:f>
              <c:strCache>
                <c:ptCount val="1"/>
                <c:pt idx="0">
                  <c:v>USBR Diversions</c:v>
                </c:pt>
              </c:strCache>
            </c:strRef>
          </c:tx>
          <c:spPr>
            <a:solidFill>
              <a:schemeClr val="accent2"/>
            </a:solidFill>
            <a:ln>
              <a:noFill/>
            </a:ln>
            <a:effectLst/>
          </c:spPr>
          <c:invertIfNegative val="0"/>
          <c:cat>
            <c:numRef>
              <c:f>Colorado!$B$9:$B$42</c:f>
              <c:numCache>
                <c:formatCode>General</c:formatCode>
                <c:ptCount val="34"/>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numCache>
            </c:numRef>
          </c:cat>
          <c:val>
            <c:numRef>
              <c:f>Colorado!$D$9:$D$42</c:f>
              <c:numCache>
                <c:formatCode>General</c:formatCode>
                <c:ptCount val="34"/>
                <c:pt idx="0">
                  <c:v>716000</c:v>
                </c:pt>
                <c:pt idx="1">
                  <c:v>907000</c:v>
                </c:pt>
                <c:pt idx="2">
                  <c:v>1228000</c:v>
                </c:pt>
                <c:pt idx="3">
                  <c:v>1275000</c:v>
                </c:pt>
                <c:pt idx="4">
                  <c:v>1300000</c:v>
                </c:pt>
                <c:pt idx="5">
                  <c:v>1281000</c:v>
                </c:pt>
                <c:pt idx="6">
                  <c:v>1190000</c:v>
                </c:pt>
                <c:pt idx="7">
                  <c:v>1203700</c:v>
                </c:pt>
                <c:pt idx="8">
                  <c:v>1219200</c:v>
                </c:pt>
                <c:pt idx="9">
                  <c:v>1254700</c:v>
                </c:pt>
                <c:pt idx="10">
                  <c:v>1197400</c:v>
                </c:pt>
                <c:pt idx="11">
                  <c:v>1206000</c:v>
                </c:pt>
                <c:pt idx="12">
                  <c:v>1302666</c:v>
                </c:pt>
                <c:pt idx="13">
                  <c:v>1022893</c:v>
                </c:pt>
                <c:pt idx="14">
                  <c:v>1229142.25535</c:v>
                </c:pt>
                <c:pt idx="15">
                  <c:v>1239463.98688</c:v>
                </c:pt>
                <c:pt idx="16">
                  <c:v>1077140.3102500001</c:v>
                </c:pt>
                <c:pt idx="17">
                  <c:v>1216423.3139299999</c:v>
                </c:pt>
                <c:pt idx="18">
                  <c:v>1302580.29024</c:v>
                </c:pt>
                <c:pt idx="19">
                  <c:v>1257302.47933</c:v>
                </c:pt>
                <c:pt idx="20">
                  <c:v>1240536.19835</c:v>
                </c:pt>
                <c:pt idx="21">
                  <c:v>689887.1156889</c:v>
                </c:pt>
                <c:pt idx="22">
                  <c:v>762860.40712999995</c:v>
                </c:pt>
                <c:pt idx="23">
                  <c:v>903286.6115</c:v>
                </c:pt>
                <c:pt idx="24">
                  <c:v>638142.14882999996</c:v>
                </c:pt>
                <c:pt idx="25">
                  <c:v>717239.00827999995</c:v>
                </c:pt>
                <c:pt idx="26">
                  <c:v>910336.08264000004</c:v>
                </c:pt>
                <c:pt idx="27">
                  <c:v>1110378.90909</c:v>
                </c:pt>
                <c:pt idx="28">
                  <c:v>1099061</c:v>
                </c:pt>
                <c:pt idx="29">
                  <c:v>698990</c:v>
                </c:pt>
                <c:pt idx="30">
                  <c:v>736108.57189999998</c:v>
                </c:pt>
                <c:pt idx="31">
                  <c:v>1012715</c:v>
                </c:pt>
                <c:pt idx="32">
                  <c:v>1176334</c:v>
                </c:pt>
                <c:pt idx="33">
                  <c:v>1179218.00006</c:v>
                </c:pt>
              </c:numCache>
            </c:numRef>
          </c:val>
          <c:extLst>
            <c:ext xmlns:c16="http://schemas.microsoft.com/office/drawing/2014/chart" uri="{C3380CC4-5D6E-409C-BE32-E72D297353CC}">
              <c16:uniqueId val="{00000001-7D0B-4218-A9F6-EA37A6D79E53}"/>
            </c:ext>
          </c:extLst>
        </c:ser>
        <c:dLbls>
          <c:showLegendKey val="0"/>
          <c:showVal val="0"/>
          <c:showCatName val="0"/>
          <c:showSerName val="0"/>
          <c:showPercent val="0"/>
          <c:showBubbleSize val="0"/>
        </c:dLbls>
        <c:gapWidth val="219"/>
        <c:overlap val="-27"/>
        <c:axId val="1868485727"/>
        <c:axId val="1868485247"/>
      </c:barChart>
      <c:catAx>
        <c:axId val="18684857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8485247"/>
        <c:crosses val="autoZero"/>
        <c:auto val="1"/>
        <c:lblAlgn val="ctr"/>
        <c:lblOffset val="100"/>
        <c:noMultiLvlLbl val="0"/>
      </c:catAx>
      <c:valAx>
        <c:axId val="18684852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84857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DBDEF-6D0A-47B3-A44E-A03D6F089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6031</TotalTime>
  <Pages>7</Pages>
  <Words>1297</Words>
  <Characters>7399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Armen Konialian</dc:creator>
  <cp:keywords/>
  <dc:description/>
  <cp:lastModifiedBy>Armen Konialian</cp:lastModifiedBy>
  <cp:revision>9</cp:revision>
  <dcterms:created xsi:type="dcterms:W3CDTF">2024-07-01T18:22:00Z</dcterms:created>
  <dcterms:modified xsi:type="dcterms:W3CDTF">2024-08-14T17:37:00Z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id="cW3ClZxi"/&gt;&lt;style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