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F695C" w14:textId="364A5D8F" w:rsidR="00FA72BE" w:rsidRPr="006438BA" w:rsidRDefault="000F2F25">
      <w:r w:rsidRPr="006438BA">
        <w:t>System drought indicator for the Southern California hydrologic region</w:t>
      </w:r>
    </w:p>
    <w:p w14:paraId="78A4D67F" w14:textId="2D3F08E0" w:rsidR="000F2F25" w:rsidRPr="006438BA" w:rsidRDefault="000F2F25" w:rsidP="006A2147">
      <w:pPr>
        <w:pStyle w:val="Heading1"/>
      </w:pPr>
      <w:r w:rsidRPr="006438BA">
        <w:t>Water portfolio of the Southern California hydrologic region</w:t>
      </w:r>
    </w:p>
    <w:p w14:paraId="6681136B" w14:textId="614D662E" w:rsidR="000F2F25" w:rsidRPr="006438BA" w:rsidRDefault="000F2F25">
      <w:r w:rsidRPr="006438BA">
        <w:drawing>
          <wp:inline distT="0" distB="0" distL="0" distR="0" wp14:anchorId="7155F037" wp14:editId="6C6A503B">
            <wp:extent cx="5943600" cy="2197100"/>
            <wp:effectExtent l="0" t="0" r="0" b="12700"/>
            <wp:docPr id="931035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E47FB0-29D1-6A42-A4DC-9F341E2C00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13E344" w14:textId="14C310F5" w:rsidR="000F2F25" w:rsidRPr="006438BA" w:rsidRDefault="000F2F25">
      <w:r w:rsidRPr="006438BA">
        <w:t xml:space="preserve">Water Data Portfolios </w:t>
      </w:r>
      <w:proofErr w:type="gramStart"/>
      <w:r w:rsidRPr="006438BA">
        <w:t>is used</w:t>
      </w:r>
      <w:proofErr w:type="gramEnd"/>
      <w:r w:rsidRPr="006438BA">
        <w:t xml:space="preserve"> to obtain the supply portfolio for the 2002-19 period.</w:t>
      </w:r>
    </w:p>
    <w:p w14:paraId="2D2E0ADD" w14:textId="0758C794" w:rsidR="000F2F25" w:rsidRPr="006438BA" w:rsidRDefault="000F2F25">
      <w:r w:rsidRPr="006438BA">
        <w:t xml:space="preserve">The </w:t>
      </w:r>
      <w:proofErr w:type="gramStart"/>
      <w:r w:rsidRPr="006438BA">
        <w:t>3</w:t>
      </w:r>
      <w:proofErr w:type="gramEnd"/>
      <w:r w:rsidRPr="006438BA">
        <w:t xml:space="preserve"> main sources which compromise around </w:t>
      </w:r>
      <w:r w:rsidR="006A2147" w:rsidRPr="006438BA">
        <w:t>83</w:t>
      </w:r>
      <w:r w:rsidRPr="006438BA">
        <w:t xml:space="preserve">% of the supply in southern California are: </w:t>
      </w:r>
    </w:p>
    <w:p w14:paraId="13C31B78" w14:textId="1CB74387" w:rsidR="000F2F25" w:rsidRPr="006438BA" w:rsidRDefault="006A2147" w:rsidP="000F2F25">
      <w:pPr>
        <w:pStyle w:val="ListParagraph"/>
        <w:numPr>
          <w:ilvl w:val="0"/>
          <w:numId w:val="1"/>
        </w:numPr>
      </w:pPr>
      <w:r w:rsidRPr="006438BA">
        <w:t>State Water Project (</w:t>
      </w:r>
      <w:r w:rsidR="000F2F25" w:rsidRPr="006438BA">
        <w:t>SWP</w:t>
      </w:r>
      <w:r w:rsidRPr="006438BA">
        <w:t>)</w:t>
      </w:r>
      <w:r w:rsidR="000F2F25" w:rsidRPr="006438BA">
        <w:t xml:space="preserve"> </w:t>
      </w:r>
      <w:r w:rsidR="000A2FBF" w:rsidRPr="006438BA">
        <w:t xml:space="preserve">- </w:t>
      </w:r>
      <w:r w:rsidR="000F2F25" w:rsidRPr="006438BA">
        <w:t>24%</w:t>
      </w:r>
      <w:r w:rsidR="000A2FBF" w:rsidRPr="006438BA">
        <w:t xml:space="preserve"> of the </w:t>
      </w:r>
      <w:proofErr w:type="gramStart"/>
      <w:r w:rsidR="000A2FBF" w:rsidRPr="006438BA">
        <w:t>supply</w:t>
      </w:r>
      <w:proofErr w:type="gramEnd"/>
    </w:p>
    <w:p w14:paraId="10DDC3BA" w14:textId="46C67B41" w:rsidR="000F2F25" w:rsidRPr="006438BA" w:rsidRDefault="000F2F25" w:rsidP="000F2F25">
      <w:pPr>
        <w:pStyle w:val="ListParagraph"/>
        <w:numPr>
          <w:ilvl w:val="0"/>
          <w:numId w:val="1"/>
        </w:numPr>
      </w:pPr>
      <w:r w:rsidRPr="006438BA">
        <w:t xml:space="preserve">Colorado </w:t>
      </w:r>
      <w:r w:rsidR="000A2FBF" w:rsidRPr="006438BA">
        <w:t>- 2</w:t>
      </w:r>
      <w:r w:rsidR="000A2FBF" w:rsidRPr="006438BA">
        <w:t>2</w:t>
      </w:r>
      <w:r w:rsidR="000A2FBF" w:rsidRPr="006438BA">
        <w:t>% of the supply</w:t>
      </w:r>
    </w:p>
    <w:p w14:paraId="0F1B6B2B" w14:textId="4DDBFB9E" w:rsidR="006A2147" w:rsidRPr="006438BA" w:rsidRDefault="000F2F25" w:rsidP="006A2147">
      <w:pPr>
        <w:pStyle w:val="ListParagraph"/>
        <w:numPr>
          <w:ilvl w:val="0"/>
          <w:numId w:val="1"/>
        </w:numPr>
      </w:pPr>
      <w:r w:rsidRPr="006438BA">
        <w:t xml:space="preserve">Groundwater </w:t>
      </w:r>
      <w:r w:rsidR="000A2FBF" w:rsidRPr="006438BA">
        <w:t xml:space="preserve">- </w:t>
      </w:r>
      <w:r w:rsidR="000A2FBF" w:rsidRPr="006438BA">
        <w:t>33</w:t>
      </w:r>
      <w:r w:rsidR="000A2FBF" w:rsidRPr="006438BA">
        <w:t>% of the supply</w:t>
      </w:r>
    </w:p>
    <w:p w14:paraId="7905F991" w14:textId="2A682A33" w:rsidR="006A2147" w:rsidRPr="006438BA" w:rsidRDefault="00F85B39" w:rsidP="00F85B39">
      <w:pPr>
        <w:pStyle w:val="ListParagraph"/>
        <w:numPr>
          <w:ilvl w:val="0"/>
          <w:numId w:val="1"/>
        </w:numPr>
      </w:pPr>
      <w:r w:rsidRPr="006438BA">
        <w:t>Los Angeles Aqueduct</w:t>
      </w:r>
      <w:r w:rsidRPr="006438BA">
        <w:t xml:space="preserve"> (</w:t>
      </w:r>
      <w:r w:rsidR="006A2147" w:rsidRPr="006438BA">
        <w:t>Imports</w:t>
      </w:r>
      <w:r w:rsidRPr="006438BA">
        <w:t>)</w:t>
      </w:r>
      <w:r w:rsidR="000A2FBF" w:rsidRPr="006438BA">
        <w:t>- 4% of the supply</w:t>
      </w:r>
    </w:p>
    <w:p w14:paraId="20746D9A" w14:textId="1A6E65DA" w:rsidR="000F2F25" w:rsidRPr="006438BA" w:rsidRDefault="000F2F25" w:rsidP="006A2147">
      <w:pPr>
        <w:pStyle w:val="Heading1"/>
      </w:pPr>
      <w:r w:rsidRPr="006438BA">
        <w:t>Estimating supplies using drought indicators</w:t>
      </w:r>
    </w:p>
    <w:p w14:paraId="7D30744B" w14:textId="4CBB1B6B" w:rsidR="006A2147" w:rsidRPr="006438BA" w:rsidRDefault="000F2F25" w:rsidP="00F85B39">
      <w:pPr>
        <w:pStyle w:val="Heading2"/>
        <w:numPr>
          <w:ilvl w:val="0"/>
          <w:numId w:val="2"/>
        </w:numPr>
      </w:pPr>
      <w:r w:rsidRPr="006438BA">
        <w:t>S</w:t>
      </w:r>
      <w:r w:rsidR="006A2147" w:rsidRPr="006438BA">
        <w:t>tate Water Project</w:t>
      </w:r>
    </w:p>
    <w:p w14:paraId="4554216D" w14:textId="032AD295" w:rsidR="006A2147" w:rsidRPr="006438BA" w:rsidRDefault="006A2147" w:rsidP="006A2147">
      <w:r w:rsidRPr="006438BA">
        <w:t xml:space="preserve">Given </w:t>
      </w:r>
      <w:r w:rsidR="000A2FBF" w:rsidRPr="006438BA">
        <w:t>SWP</w:t>
      </w:r>
      <w:r w:rsidRPr="006438BA">
        <w:t xml:space="preserve"> </w:t>
      </w:r>
      <w:r w:rsidR="000A2FBF" w:rsidRPr="006438BA">
        <w:t>supply comes</w:t>
      </w:r>
      <w:r w:rsidRPr="006438BA">
        <w:t xml:space="preserve"> from Northern California, we try correlating</w:t>
      </w:r>
      <w:r w:rsidR="000A2FBF" w:rsidRPr="006438BA">
        <w:t xml:space="preserve"> this</w:t>
      </w:r>
      <w:r w:rsidR="00B46090" w:rsidRPr="006438BA">
        <w:t xml:space="preserve"> supply</w:t>
      </w:r>
      <w:r w:rsidR="000A2FBF" w:rsidRPr="006438BA">
        <w:t xml:space="preserve"> with delta surface water drought indicator (SWDI).</w:t>
      </w:r>
    </w:p>
    <w:p w14:paraId="6F31F445" w14:textId="62D417BC" w:rsidR="00B46090" w:rsidRPr="006438BA" w:rsidRDefault="00B46090" w:rsidP="006A2147">
      <w:r w:rsidRPr="006438BA">
        <w:t xml:space="preserve">Different datasets </w:t>
      </w:r>
      <w:proofErr w:type="gramStart"/>
      <w:r w:rsidRPr="006438BA">
        <w:t>are used</w:t>
      </w:r>
      <w:proofErr w:type="gramEnd"/>
      <w:r w:rsidRPr="006438BA">
        <w:t xml:space="preserve"> to better understand the relationship between</w:t>
      </w:r>
      <w:r w:rsidR="00567DEB" w:rsidRPr="006438BA">
        <w:t xml:space="preserve"> indicators and state water project.</w:t>
      </w:r>
    </w:p>
    <w:p w14:paraId="13B42965" w14:textId="2089F037" w:rsidR="00B46090" w:rsidRPr="006438BA" w:rsidRDefault="00B46090" w:rsidP="00DE37E4">
      <w:pPr>
        <w:pStyle w:val="Heading3"/>
        <w:numPr>
          <w:ilvl w:val="1"/>
          <w:numId w:val="2"/>
        </w:numPr>
      </w:pPr>
      <w:r w:rsidRPr="006438BA">
        <w:t>Water Data Portfolios</w:t>
      </w:r>
    </w:p>
    <w:p w14:paraId="48402DB5" w14:textId="30CCB08C" w:rsidR="00CB2DE3" w:rsidRPr="006438BA" w:rsidRDefault="000A2FBF" w:rsidP="00CB2DE3">
      <w:proofErr w:type="gramStart"/>
      <w:r w:rsidRPr="006438BA">
        <w:t>Some</w:t>
      </w:r>
      <w:proofErr w:type="gramEnd"/>
      <w:r w:rsidRPr="006438BA">
        <w:t xml:space="preserve"> correlation is observed (r2=0.4</w:t>
      </w:r>
      <w:r w:rsidR="00382302" w:rsidRPr="006438BA">
        <w:t>35</w:t>
      </w:r>
      <w:r w:rsidRPr="006438BA">
        <w:t>)</w:t>
      </w:r>
      <w:r w:rsidR="00382302" w:rsidRPr="006438BA">
        <w:t xml:space="preserve"> as observed in figure</w:t>
      </w:r>
      <w:r w:rsidR="00CB2DE3" w:rsidRPr="006438BA">
        <w:t xml:space="preserve"> 1</w:t>
      </w:r>
      <w:r w:rsidRPr="006438BA">
        <w:t>.</w:t>
      </w:r>
      <w:r w:rsidR="00382302" w:rsidRPr="006438BA">
        <w:t xml:space="preserve"> However, after 2006 regulation changes (2006 Bay-Delta Plan) negatively impacted deliveries</w:t>
      </w:r>
      <w:r w:rsidRPr="006438BA">
        <w:t xml:space="preserve"> </w:t>
      </w:r>
      <w:r w:rsidR="00382302" w:rsidRPr="006438BA">
        <w:t>to SoCal from 200</w:t>
      </w:r>
      <w:r w:rsidR="00CB2DE3" w:rsidRPr="006438BA">
        <w:t>8</w:t>
      </w:r>
      <w:r w:rsidR="00382302" w:rsidRPr="006438BA">
        <w:t xml:space="preserve"> and on.</w:t>
      </w:r>
    </w:p>
    <w:p w14:paraId="75080064" w14:textId="77777777" w:rsidR="00CB2DE3" w:rsidRPr="006438BA" w:rsidRDefault="00CB2DE3" w:rsidP="00CB2DE3">
      <w:pPr>
        <w:keepNext/>
      </w:pPr>
      <w:r w:rsidRPr="006438BA">
        <w:lastRenderedPageBreak/>
        <w:drawing>
          <wp:inline distT="0" distB="0" distL="0" distR="0" wp14:anchorId="13CAF361" wp14:editId="6C9880F0">
            <wp:extent cx="4804896" cy="2768226"/>
            <wp:effectExtent l="0" t="0" r="15240" b="13335"/>
            <wp:docPr id="10877544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EBD845-258B-443E-B260-60F8311EC1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8B5915" w14:textId="01A9E4B3" w:rsidR="000A2FBF" w:rsidRPr="006438BA" w:rsidRDefault="00CB2DE3" w:rsidP="00CB2DE3">
      <w:pPr>
        <w:pStyle w:val="Caption"/>
      </w:pPr>
      <w:r w:rsidRPr="006438BA">
        <w:t xml:space="preserve">Figure </w:t>
      </w:r>
      <w:r w:rsidRPr="006438BA">
        <w:fldChar w:fldCharType="begin"/>
      </w:r>
      <w:r w:rsidRPr="006438BA">
        <w:instrText xml:space="preserve"> SEQ Figure \* ARABIC </w:instrText>
      </w:r>
      <w:r w:rsidRPr="006438BA">
        <w:fldChar w:fldCharType="separate"/>
      </w:r>
      <w:proofErr w:type="gramStart"/>
      <w:r w:rsidR="00F85B39" w:rsidRPr="006438BA">
        <w:t>1</w:t>
      </w:r>
      <w:proofErr w:type="gramEnd"/>
      <w:r w:rsidRPr="006438BA">
        <w:fldChar w:fldCharType="end"/>
      </w:r>
      <w:r w:rsidRPr="006438BA">
        <w:t xml:space="preserve"> Monthly average SWDI over the water year vs SWP deliveries over the water year.</w:t>
      </w:r>
    </w:p>
    <w:p w14:paraId="1E9B7660" w14:textId="5D1CA06F" w:rsidR="00F85B39" w:rsidRPr="006438BA" w:rsidRDefault="00CB2DE3" w:rsidP="00F85B39">
      <w:r w:rsidRPr="006438BA">
        <w:t xml:space="preserve">By dividing the SWP deliveries to pre 2008 and post 2008 deliveries, </w:t>
      </w:r>
      <w:r w:rsidR="006F5AA5" w:rsidRPr="006438BA">
        <w:t xml:space="preserve">a noticeable decrease in SWP deliveries </w:t>
      </w:r>
      <w:proofErr w:type="gramStart"/>
      <w:r w:rsidR="006F5AA5" w:rsidRPr="006438BA">
        <w:t>is observed</w:t>
      </w:r>
      <w:proofErr w:type="gramEnd"/>
      <w:r w:rsidR="006F5AA5" w:rsidRPr="006438BA">
        <w:t>. Pre</w:t>
      </w:r>
      <w:r w:rsidR="00F85B39" w:rsidRPr="006438BA">
        <w:t>-</w:t>
      </w:r>
      <w:r w:rsidR="006F5AA5" w:rsidRPr="006438BA">
        <w:t xml:space="preserve">2008 deliveries </w:t>
      </w:r>
      <w:r w:rsidR="00F85B39" w:rsidRPr="006438BA">
        <w:t xml:space="preserve">always </w:t>
      </w:r>
      <w:r w:rsidR="006F5AA5" w:rsidRPr="006438BA">
        <w:t xml:space="preserve">exceeded 1400maf, </w:t>
      </w:r>
      <w:r w:rsidR="00F85B39" w:rsidRPr="006438BA">
        <w:t>whereas</w:t>
      </w:r>
      <w:r w:rsidR="006F5AA5" w:rsidRPr="006438BA">
        <w:t xml:space="preserve"> </w:t>
      </w:r>
      <w:r w:rsidR="00F85B39" w:rsidRPr="006438BA">
        <w:t>post-</w:t>
      </w:r>
      <w:r w:rsidR="006F5AA5" w:rsidRPr="006438BA">
        <w:t xml:space="preserve">2008 deliveries </w:t>
      </w:r>
      <w:r w:rsidR="00F85B39" w:rsidRPr="006438BA">
        <w:t>have not exceeded</w:t>
      </w:r>
      <w:r w:rsidR="006F5AA5" w:rsidRPr="006438BA">
        <w:t xml:space="preserve">1300maf. </w:t>
      </w:r>
      <w:r w:rsidR="00F85B39" w:rsidRPr="006438BA">
        <w:t xml:space="preserve">Furthermore, no improvement in correlation </w:t>
      </w:r>
      <w:proofErr w:type="gramStart"/>
      <w:r w:rsidR="00F85B39" w:rsidRPr="006438BA">
        <w:t>is observed</w:t>
      </w:r>
      <w:proofErr w:type="gramEnd"/>
      <w:r w:rsidR="00F85B39" w:rsidRPr="006438BA">
        <w:t xml:space="preserve"> (Figure 2).</w:t>
      </w:r>
    </w:p>
    <w:p w14:paraId="1ABE7A65" w14:textId="6594CBE8" w:rsidR="006F5AA5" w:rsidRPr="006438BA" w:rsidRDefault="00F85B39" w:rsidP="00F85B39">
      <w:r w:rsidRPr="006438BA">
        <w:drawing>
          <wp:anchor distT="0" distB="0" distL="114300" distR="114300" simplePos="0" relativeHeight="251658240" behindDoc="0" locked="0" layoutInCell="1" allowOverlap="1" wp14:anchorId="5CC7DE7B" wp14:editId="1293AF5E">
            <wp:simplePos x="0" y="0"/>
            <wp:positionH relativeFrom="page">
              <wp:posOffset>3981450</wp:posOffset>
            </wp:positionH>
            <wp:positionV relativeFrom="paragraph">
              <wp:posOffset>314960</wp:posOffset>
            </wp:positionV>
            <wp:extent cx="3646610" cy="1885561"/>
            <wp:effectExtent l="0" t="0" r="11430" b="635"/>
            <wp:wrapSquare wrapText="bothSides"/>
            <wp:docPr id="1729263831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1FDF2DC-C2D2-4768-BA43-0215DFF905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8BA"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5F6A76" wp14:editId="1BDC8DB1">
                <wp:simplePos x="0" y="0"/>
                <wp:positionH relativeFrom="column">
                  <wp:posOffset>-514350</wp:posOffset>
                </wp:positionH>
                <wp:positionV relativeFrom="paragraph">
                  <wp:posOffset>2239010</wp:posOffset>
                </wp:positionV>
                <wp:extent cx="3600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65467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82D96" w14:textId="55A26377" w:rsidR="00F85B39" w:rsidRPr="006438BA" w:rsidRDefault="00F85B39" w:rsidP="00F85B39">
                            <w:pPr>
                              <w:pStyle w:val="Caption"/>
                            </w:pPr>
                            <w:r w:rsidRPr="006438BA">
                              <w:t xml:space="preserve">Figure </w:t>
                            </w:r>
                            <w:r w:rsidRPr="006438BA">
                              <w:fldChar w:fldCharType="begin"/>
                            </w:r>
                            <w:r w:rsidRPr="006438BA">
                              <w:instrText xml:space="preserve"> SEQ Figure \* ARABIC </w:instrText>
                            </w:r>
                            <w:r w:rsidRPr="006438BA">
                              <w:fldChar w:fldCharType="separate"/>
                            </w:r>
                            <w:r w:rsidRPr="006438BA">
                              <w:t>2</w:t>
                            </w:r>
                            <w:r w:rsidRPr="006438BA">
                              <w:fldChar w:fldCharType="end"/>
                            </w:r>
                            <w:r w:rsidRPr="006438BA">
                              <w:t xml:space="preserve"> Monthly average SWDI over the water year vs SWP deliveries over the water year.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F6A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5pt;margin-top:176.3pt;width:283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" stroked="f">
                <v:textbox style="mso-fit-shape-to-text:t" inset="0,0,0,0">
                  <w:txbxContent>
                    <w:p w14:paraId="04482D96" w14:textId="55A26377" w:rsidR="00F85B39" w:rsidRPr="006438BA" w:rsidRDefault="00F85B39" w:rsidP="00F85B39">
                      <w:pPr>
                        <w:pStyle w:val="Caption"/>
                      </w:pPr>
                      <w:r w:rsidRPr="006438BA">
                        <w:t xml:space="preserve">Figure </w:t>
                      </w:r>
                      <w:r w:rsidRPr="006438BA">
                        <w:fldChar w:fldCharType="begin"/>
                      </w:r>
                      <w:r w:rsidRPr="006438BA">
                        <w:instrText xml:space="preserve"> SEQ Figure \* ARABIC </w:instrText>
                      </w:r>
                      <w:r w:rsidRPr="006438BA">
                        <w:fldChar w:fldCharType="separate"/>
                      </w:r>
                      <w:r w:rsidRPr="006438BA">
                        <w:t>2</w:t>
                      </w:r>
                      <w:r w:rsidRPr="006438BA">
                        <w:fldChar w:fldCharType="end"/>
                      </w:r>
                      <w:r w:rsidRPr="006438BA">
                        <w:t xml:space="preserve"> Monthly average SWDI over the water year vs SWP deliveries over the water year.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438BA">
        <w:drawing>
          <wp:anchor distT="0" distB="0" distL="114300" distR="114300" simplePos="0" relativeHeight="251659264" behindDoc="1" locked="0" layoutInCell="1" allowOverlap="1" wp14:anchorId="5023D62B" wp14:editId="6D320631">
            <wp:simplePos x="0" y="0"/>
            <wp:positionH relativeFrom="page">
              <wp:posOffset>400050</wp:posOffset>
            </wp:positionH>
            <wp:positionV relativeFrom="paragraph">
              <wp:posOffset>334010</wp:posOffset>
            </wp:positionV>
            <wp:extent cx="36004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86" y="21377"/>
                <wp:lineTo x="21486" y="0"/>
                <wp:lineTo x="0" y="0"/>
              </wp:wrapPolygon>
            </wp:wrapTight>
            <wp:docPr id="13717217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8264EC-06A3-49B1-BBBD-30EA4777BA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64238" w14:textId="20E4335B" w:rsidR="006F5AA5" w:rsidRPr="006438BA" w:rsidRDefault="006F5AA5" w:rsidP="000F2F25"/>
    <w:p w14:paraId="32465CF6" w14:textId="77777777" w:rsidR="00C579CD" w:rsidRPr="006438BA" w:rsidRDefault="00C579CD">
      <w:pPr>
        <w:rPr>
          <w:rFonts w:eastAsiaTheme="majorEastAsia" w:cstheme="majorBidi"/>
          <w:szCs w:val="28"/>
        </w:rPr>
      </w:pPr>
      <w:r w:rsidRPr="006438BA">
        <w:br w:type="page"/>
      </w:r>
    </w:p>
    <w:p w14:paraId="77EA856E" w14:textId="77777777" w:rsidR="00044566" w:rsidRPr="006438BA" w:rsidRDefault="00044566" w:rsidP="00044566">
      <w:pPr>
        <w:pStyle w:val="Heading3"/>
        <w:numPr>
          <w:ilvl w:val="1"/>
          <w:numId w:val="2"/>
        </w:numPr>
      </w:pPr>
      <w:r w:rsidRPr="006438BA">
        <w:lastRenderedPageBreak/>
        <w:t>SWP Allocations</w:t>
      </w:r>
    </w:p>
    <w:p w14:paraId="5AC8F6DF" w14:textId="77777777" w:rsidR="00044566" w:rsidRPr="006438BA" w:rsidRDefault="00044566" w:rsidP="00044566">
      <w:r w:rsidRPr="006438BA">
        <w:t xml:space="preserve">DWR published percent allocation for </w:t>
      </w:r>
      <w:proofErr w:type="spellStart"/>
      <w:r w:rsidRPr="006438BA">
        <w:t>swp</w:t>
      </w:r>
      <w:proofErr w:type="spellEnd"/>
      <w:r w:rsidRPr="006438BA">
        <w:t xml:space="preserve"> contractors at the beginning of each water year based on availability of supply in the delta. Initial allocations are conservative and </w:t>
      </w:r>
      <w:proofErr w:type="gramStart"/>
      <w:r w:rsidRPr="006438BA">
        <w:t>generally through</w:t>
      </w:r>
      <w:proofErr w:type="gramEnd"/>
      <w:r w:rsidRPr="006438BA">
        <w:t xml:space="preserve"> the year allocations increase.</w:t>
      </w:r>
    </w:p>
    <w:p w14:paraId="10E8E6B6" w14:textId="754F1820" w:rsidR="00F61527" w:rsidRPr="006438BA" w:rsidRDefault="00F61527" w:rsidP="00044566">
      <w:r w:rsidRPr="006438BA">
        <w:t>The figure below shows the allocation percentages by the end of each water year.</w:t>
      </w:r>
    </w:p>
    <w:p w14:paraId="1136AE44" w14:textId="73892DD2" w:rsidR="00F61527" w:rsidRPr="006438BA" w:rsidRDefault="00F61527" w:rsidP="00044566">
      <w:r w:rsidRPr="006438BA">
        <w:drawing>
          <wp:inline distT="0" distB="0" distL="0" distR="0" wp14:anchorId="70AFC174" wp14:editId="1A94CA01">
            <wp:extent cx="4572000" cy="2743200"/>
            <wp:effectExtent l="0" t="0" r="0" b="0"/>
            <wp:docPr id="1094110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DBA884-CC82-6435-0CEE-362DDF259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FE18EB" w14:textId="7CC24BE5" w:rsidR="008154B7" w:rsidRPr="006438BA" w:rsidRDefault="00044566" w:rsidP="00F61527">
      <w:r w:rsidRPr="006438BA">
        <w:t xml:space="preserve">SWDI delta can </w:t>
      </w:r>
      <w:proofErr w:type="gramStart"/>
      <w:r w:rsidRPr="006438BA">
        <w:t>be used</w:t>
      </w:r>
      <w:proofErr w:type="gramEnd"/>
      <w:r w:rsidRPr="006438BA">
        <w:t xml:space="preserve"> to determine this </w:t>
      </w:r>
      <w:proofErr w:type="spellStart"/>
      <w:r w:rsidRPr="006438BA">
        <w:t>swp</w:t>
      </w:r>
      <w:proofErr w:type="spellEnd"/>
      <w:r w:rsidRPr="006438BA">
        <w:t xml:space="preserve"> allocations</w:t>
      </w:r>
      <w:r w:rsidR="008154B7" w:rsidRPr="006438BA">
        <w:t>.</w:t>
      </w:r>
      <w:r w:rsidR="00F61527" w:rsidRPr="006438BA">
        <w:t xml:space="preserve"> </w:t>
      </w:r>
      <w:r w:rsidR="00EE2399" w:rsidRPr="006438BA">
        <w:t>The correlation between the a</w:t>
      </w:r>
      <w:r w:rsidR="008154B7" w:rsidRPr="006438BA">
        <w:t xml:space="preserve">verage current year SWDI </w:t>
      </w:r>
      <w:r w:rsidR="00EE2399" w:rsidRPr="006438BA">
        <w:t>and the</w:t>
      </w:r>
      <w:r w:rsidR="008154B7" w:rsidRPr="006438BA">
        <w:t xml:space="preserve"> annual allocation (final allocation at the end of each year</w:t>
      </w:r>
      <w:r w:rsidR="00EE2399" w:rsidRPr="006438BA">
        <w:t>) is r2=0.7467. This score is higher than the a</w:t>
      </w:r>
      <w:r w:rsidR="00EE2399" w:rsidRPr="006438BA">
        <w:t xml:space="preserve">verage </w:t>
      </w:r>
      <w:r w:rsidR="00EE2399" w:rsidRPr="006438BA">
        <w:t>water</w:t>
      </w:r>
      <w:r w:rsidR="00EE2399" w:rsidRPr="006438BA">
        <w:t xml:space="preserve"> year SWDI</w:t>
      </w:r>
      <w:r w:rsidR="00EE2399" w:rsidRPr="006438BA">
        <w:t xml:space="preserve"> (r2=0.6939) and </w:t>
      </w:r>
      <w:r w:rsidR="00EE2399" w:rsidRPr="006438BA">
        <w:t xml:space="preserve">the correlation with the SWDI at the time the allocation </w:t>
      </w:r>
      <w:proofErr w:type="gramStart"/>
      <w:r w:rsidR="00EE2399" w:rsidRPr="006438BA">
        <w:t>is published</w:t>
      </w:r>
      <w:proofErr w:type="gramEnd"/>
      <w:r w:rsidR="00EE2399" w:rsidRPr="006438BA">
        <w:t xml:space="preserve"> (r2=0.7025) as shown in figure below.</w:t>
      </w:r>
    </w:p>
    <w:p w14:paraId="44E31695" w14:textId="3AAEE163" w:rsidR="008154B7" w:rsidRPr="006438BA" w:rsidRDefault="008154B7" w:rsidP="00044566"/>
    <w:p w14:paraId="431DDB02" w14:textId="77777777" w:rsidR="00EE2399" w:rsidRPr="006438BA" w:rsidRDefault="00EE2399" w:rsidP="00044566">
      <w:r w:rsidRPr="006438BA">
        <w:drawing>
          <wp:inline distT="0" distB="0" distL="0" distR="0" wp14:anchorId="0F077E45" wp14:editId="44E33D76">
            <wp:extent cx="6646442" cy="1381125"/>
            <wp:effectExtent l="0" t="0" r="2540" b="0"/>
            <wp:docPr id="107938092" name="Picture 1" descr="A graph with blue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8092" name="Picture 1" descr="A graph with blue dots and a dott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732" cy="13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CAC4" w14:textId="77777777" w:rsidR="00EE2399" w:rsidRPr="006438BA" w:rsidRDefault="00EE2399" w:rsidP="00044566"/>
    <w:p w14:paraId="0F4BD5EC" w14:textId="6B67B710" w:rsidR="00044566" w:rsidRPr="006438BA" w:rsidRDefault="00044566" w:rsidP="00044566">
      <w:r w:rsidRPr="006438BA">
        <w:br w:type="page"/>
      </w:r>
    </w:p>
    <w:p w14:paraId="64BD75F6" w14:textId="77777777" w:rsidR="002A046F" w:rsidRDefault="00DE37E4" w:rsidP="00DE37E4">
      <w:pPr>
        <w:pStyle w:val="Heading3"/>
        <w:numPr>
          <w:ilvl w:val="1"/>
          <w:numId w:val="2"/>
        </w:numPr>
      </w:pPr>
      <w:r w:rsidRPr="006438BA">
        <w:lastRenderedPageBreak/>
        <w:t xml:space="preserve">B132-19 </w:t>
      </w:r>
      <w:proofErr w:type="gramStart"/>
      <w:r w:rsidRPr="006438BA">
        <w:t>report</w:t>
      </w:r>
      <w:proofErr w:type="gramEnd"/>
      <w:r w:rsidRPr="006438BA">
        <w:t xml:space="preserve"> </w:t>
      </w:r>
    </w:p>
    <w:p w14:paraId="6CD753A0" w14:textId="421CC4FA" w:rsidR="00F85B39" w:rsidRPr="006438BA" w:rsidRDefault="00DE37E4" w:rsidP="002A046F">
      <w:r w:rsidRPr="006438BA">
        <w:t xml:space="preserve">(just recently b132-20 </w:t>
      </w:r>
      <w:proofErr w:type="gramStart"/>
      <w:r w:rsidRPr="006438BA">
        <w:t>was released</w:t>
      </w:r>
      <w:proofErr w:type="gramEnd"/>
      <w:r w:rsidRPr="006438BA">
        <w:t>)</w:t>
      </w:r>
    </w:p>
    <w:p w14:paraId="6AD4CCCE" w14:textId="198014FF" w:rsidR="00C579CD" w:rsidRPr="006438BA" w:rsidRDefault="00C579CD" w:rsidP="00C579CD">
      <w:r w:rsidRPr="006438BA">
        <w:drawing>
          <wp:inline distT="0" distB="0" distL="0" distR="0" wp14:anchorId="4B0E7E6D" wp14:editId="3C2FF377">
            <wp:extent cx="3562875" cy="4276725"/>
            <wp:effectExtent l="0" t="0" r="0" b="0"/>
            <wp:docPr id="1326162935" name="Picture 1" descr="A map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62935" name="Picture 1" descr="A map of a trai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373" cy="42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4CC3" w14:textId="014032FE" w:rsidR="009C6074" w:rsidRPr="006438BA" w:rsidRDefault="00DE37E4" w:rsidP="009C6074">
      <w:r w:rsidRPr="006438BA">
        <w:t>This report provides a detailed explanation of California State Water Project Management</w:t>
      </w:r>
      <w:r w:rsidR="009C6074" w:rsidRPr="006438BA">
        <w:t xml:space="preserve"> for each calendar year</w:t>
      </w:r>
      <w:r w:rsidRPr="006438BA">
        <w:t xml:space="preserve">. </w:t>
      </w:r>
      <w:r w:rsidR="009C6074" w:rsidRPr="006438BA">
        <w:t xml:space="preserve">Full reports of the State Water Project for each </w:t>
      </w:r>
      <w:r w:rsidR="009C6074" w:rsidRPr="006438BA">
        <w:t>calendar</w:t>
      </w:r>
      <w:r w:rsidR="009C6074" w:rsidRPr="006438BA">
        <w:t xml:space="preserve"> year </w:t>
      </w:r>
      <w:proofErr w:type="gramStart"/>
      <w:r w:rsidR="009C6074" w:rsidRPr="006438BA">
        <w:t>are released</w:t>
      </w:r>
      <w:proofErr w:type="gramEnd"/>
      <w:r w:rsidR="009C6074" w:rsidRPr="006438BA">
        <w:t xml:space="preserve"> after a few years. For example, the full report for</w:t>
      </w:r>
      <w:r w:rsidR="009C6074" w:rsidRPr="006438BA">
        <w:t>:</w:t>
      </w:r>
      <w:r w:rsidR="009C6074" w:rsidRPr="006438BA">
        <w:t xml:space="preserve"> </w:t>
      </w:r>
    </w:p>
    <w:p w14:paraId="0DD94D35" w14:textId="384544DA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 xml:space="preserve">B132-2019 was released in </w:t>
      </w:r>
      <w:proofErr w:type="gramStart"/>
      <w:r w:rsidRPr="006438BA">
        <w:t>2022</w:t>
      </w:r>
      <w:proofErr w:type="gramEnd"/>
    </w:p>
    <w:p w14:paraId="45C11AB7" w14:textId="546F38BC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 xml:space="preserve">B132-2018 was released in </w:t>
      </w:r>
      <w:proofErr w:type="gramStart"/>
      <w:r w:rsidRPr="006438BA">
        <w:t>2021</w:t>
      </w:r>
      <w:proofErr w:type="gramEnd"/>
      <w:r w:rsidRPr="006438BA">
        <w:t xml:space="preserve"> </w:t>
      </w:r>
    </w:p>
    <w:p w14:paraId="5A24D07B" w14:textId="3FE15261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 xml:space="preserve">B132-2017 was released in </w:t>
      </w:r>
      <w:proofErr w:type="gramStart"/>
      <w:r w:rsidRPr="006438BA">
        <w:t>2019</w:t>
      </w:r>
      <w:proofErr w:type="gramEnd"/>
    </w:p>
    <w:p w14:paraId="7CE87112" w14:textId="42221FF7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 xml:space="preserve">B132- 2016 was released in </w:t>
      </w:r>
      <w:proofErr w:type="gramStart"/>
      <w:r w:rsidRPr="006438BA">
        <w:t>2017</w:t>
      </w:r>
      <w:proofErr w:type="gramEnd"/>
    </w:p>
    <w:p w14:paraId="283D8B2F" w14:textId="1CCA575E" w:rsidR="00DE37E4" w:rsidRPr="006438BA" w:rsidRDefault="009C6074" w:rsidP="00DE37E4">
      <w:r w:rsidRPr="006438BA">
        <w:t xml:space="preserve">Up until the release of the full report, appendices </w:t>
      </w:r>
      <w:proofErr w:type="gramStart"/>
      <w:r w:rsidRPr="006438BA">
        <w:t>are provided</w:t>
      </w:r>
      <w:proofErr w:type="gramEnd"/>
      <w:r w:rsidRPr="006438BA">
        <w:t xml:space="preserve"> annually.</w:t>
      </w:r>
    </w:p>
    <w:p w14:paraId="65E4E853" w14:textId="77777777" w:rsidR="00C579CD" w:rsidRPr="006438BA" w:rsidRDefault="00C579CD" w:rsidP="00C579CD">
      <w:r w:rsidRPr="006438BA">
        <w:t>Our focus is on the deliveries. Relevant tables related to our project include:</w:t>
      </w:r>
    </w:p>
    <w:p w14:paraId="034285ED" w14:textId="1511C5FB" w:rsidR="009C6074" w:rsidRPr="006438BA" w:rsidRDefault="009C6074" w:rsidP="00C579CD">
      <w:pPr>
        <w:pStyle w:val="ListParagraph"/>
        <w:numPr>
          <w:ilvl w:val="0"/>
          <w:numId w:val="5"/>
        </w:numPr>
      </w:pPr>
      <w:r w:rsidRPr="006438BA">
        <w:t xml:space="preserve">Table B-4: </w:t>
      </w:r>
      <w:r w:rsidRPr="006438BA">
        <w:t>Maximum Contractual Table A Amounts</w:t>
      </w:r>
    </w:p>
    <w:p w14:paraId="72C4C6C3" w14:textId="11ED5773" w:rsidR="009C6074" w:rsidRPr="006438BA" w:rsidRDefault="009C6074" w:rsidP="00C579CD">
      <w:pPr>
        <w:pStyle w:val="ListParagraph"/>
        <w:numPr>
          <w:ilvl w:val="0"/>
          <w:numId w:val="5"/>
        </w:numPr>
      </w:pPr>
      <w:r w:rsidRPr="006438BA">
        <w:t xml:space="preserve">Table B-5A: </w:t>
      </w:r>
      <w:r w:rsidRPr="006438BA">
        <w:t>Annual Water Quantities Delivered from Each Aqueduct Reach to Each Contractor</w:t>
      </w:r>
    </w:p>
    <w:p w14:paraId="3B0C3141" w14:textId="2AE33CBF" w:rsidR="00C579CD" w:rsidRPr="006438BA" w:rsidRDefault="00C579CD" w:rsidP="00C579CD">
      <w:r w:rsidRPr="006438BA">
        <w:lastRenderedPageBreak/>
        <w:t xml:space="preserve">This </w:t>
      </w:r>
      <w:r w:rsidRPr="006438BA">
        <w:t xml:space="preserve">shows amounts of actual allocated water quantities delivered from each aqueduct reach to each SWP </w:t>
      </w:r>
      <w:proofErr w:type="gramStart"/>
      <w:r w:rsidRPr="006438BA">
        <w:t>contractor</w:t>
      </w:r>
      <w:proofErr w:type="gramEnd"/>
    </w:p>
    <w:p w14:paraId="5B77E23B" w14:textId="61032FAD" w:rsidR="00C579CD" w:rsidRPr="006438BA" w:rsidRDefault="00C76103" w:rsidP="00C579CD">
      <w:r w:rsidRPr="006438BA">
        <w:t>It</w:t>
      </w:r>
      <w:r w:rsidR="00C579CD" w:rsidRPr="006438BA">
        <w:t xml:space="preserve"> also include</w:t>
      </w:r>
      <w:r w:rsidRPr="006438BA">
        <w:t>s</w:t>
      </w:r>
      <w:r w:rsidR="00C579CD" w:rsidRPr="006438BA">
        <w:t xml:space="preserve"> non-project water delivered to SWP water contractors, surplus water deliveries prior to May 1, 1973, and actual Article 21 water deliveries in 1994 and thereafter</w:t>
      </w:r>
      <w:r w:rsidRPr="006438BA">
        <w:t>.</w:t>
      </w:r>
    </w:p>
    <w:p w14:paraId="0F7EC084" w14:textId="2BC7C3DC" w:rsidR="009C6074" w:rsidRPr="006438BA" w:rsidRDefault="009C6074" w:rsidP="00C579CD">
      <w:pPr>
        <w:pStyle w:val="ListParagraph"/>
        <w:numPr>
          <w:ilvl w:val="0"/>
          <w:numId w:val="6"/>
        </w:numPr>
      </w:pPr>
      <w:r w:rsidRPr="006438BA">
        <w:t xml:space="preserve">Table B-5B: </w:t>
      </w:r>
      <w:r w:rsidRPr="006438BA">
        <w:t>Annual Water Quantities Delivered to Each Contractor</w:t>
      </w:r>
    </w:p>
    <w:p w14:paraId="09BD0BAF" w14:textId="48DF27C4" w:rsidR="00C579CD" w:rsidRPr="006438BA" w:rsidRDefault="00C579CD" w:rsidP="00C579CD">
      <w:r w:rsidRPr="006438BA">
        <w:t xml:space="preserve">This </w:t>
      </w:r>
      <w:r w:rsidRPr="006438BA">
        <w:t>presents a summary of actual and projected annual allocated water quantities for each SWP water contractor. The quantities also include amounts of non-project water and surplus water delivered prior to May 1, 1973, and actual deliveries of Article 21 water in 1994 and thereafter.</w:t>
      </w:r>
    </w:p>
    <w:p w14:paraId="1EE93AEC" w14:textId="34055668" w:rsidR="009C6074" w:rsidRPr="006438BA" w:rsidRDefault="009C6074" w:rsidP="00C579CD">
      <w:pPr>
        <w:pStyle w:val="ListParagraph"/>
        <w:numPr>
          <w:ilvl w:val="0"/>
          <w:numId w:val="6"/>
        </w:numPr>
      </w:pPr>
      <w:r w:rsidRPr="006438BA">
        <w:t xml:space="preserve">Table B-6: </w:t>
      </w:r>
      <w:r w:rsidRPr="006438BA">
        <w:t>Annual Water Quantities Conveyed through Each Pumping and Power Recovery Plant of Project Transportation Facilities</w:t>
      </w:r>
      <w:r w:rsidR="00C579CD" w:rsidRPr="006438BA">
        <w:t>.</w:t>
      </w:r>
    </w:p>
    <w:p w14:paraId="1E11F06A" w14:textId="623551AF" w:rsidR="00C579CD" w:rsidRPr="006438BA" w:rsidRDefault="00C579CD" w:rsidP="00C579CD">
      <w:r w:rsidRPr="006438BA">
        <w:t xml:space="preserve">This </w:t>
      </w:r>
      <w:r w:rsidRPr="006438BA">
        <w:t xml:space="preserve">summarizes the annual allocated water quantities conveyed or to </w:t>
      </w:r>
      <w:proofErr w:type="gramStart"/>
      <w:r w:rsidRPr="006438BA">
        <w:t>be conveyed</w:t>
      </w:r>
      <w:proofErr w:type="gramEnd"/>
      <w:r w:rsidRPr="006438BA">
        <w:t xml:space="preserve"> through each aqueduct pumping plant or power plant</w:t>
      </w:r>
      <w:r w:rsidR="00C76103" w:rsidRPr="006438BA">
        <w:t>.</w:t>
      </w:r>
    </w:p>
    <w:p w14:paraId="2E5CA213" w14:textId="5152674E" w:rsidR="00C76103" w:rsidRPr="006438BA" w:rsidRDefault="00C76103" w:rsidP="00C579CD">
      <w:r w:rsidRPr="006438BA">
        <w:t>The following is for 2018 only</w:t>
      </w:r>
      <w:r w:rsidR="007A118F" w:rsidRPr="006438BA">
        <w:t>:</w:t>
      </w:r>
    </w:p>
    <w:p w14:paraId="74B071ED" w14:textId="77777777" w:rsidR="00C76103" w:rsidRPr="006438BA" w:rsidRDefault="00F61527" w:rsidP="00F61527">
      <w:pPr>
        <w:pStyle w:val="ListParagraph"/>
        <w:numPr>
          <w:ilvl w:val="0"/>
          <w:numId w:val="6"/>
        </w:numPr>
      </w:pPr>
      <w:r w:rsidRPr="006438BA">
        <w:t>Table 8-1</w:t>
      </w:r>
      <w:r w:rsidRPr="006438BA">
        <w:t xml:space="preserve">: </w:t>
      </w:r>
      <w:r w:rsidRPr="006438BA">
        <w:t xml:space="preserve">Storage of Water Outside SWP Contractor Service Areas in 2018 </w:t>
      </w:r>
    </w:p>
    <w:p w14:paraId="56B23990" w14:textId="1735374A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>Table 8-5 2018 Allocated Table A Amounts</w:t>
      </w:r>
    </w:p>
    <w:p w14:paraId="64C33597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>Table 8-6 Water Delivered to SWP Contractors in 2018, by Service Area</w:t>
      </w:r>
    </w:p>
    <w:p w14:paraId="50797BE1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 xml:space="preserve">Table 8-7 Total Amounts of Water Delivered in 2018, by </w:t>
      </w:r>
      <w:proofErr w:type="gramStart"/>
      <w:r w:rsidRPr="006438BA">
        <w:t>Month</w:t>
      </w:r>
      <w:proofErr w:type="gramEnd"/>
      <w:r w:rsidRPr="006438BA">
        <w:t xml:space="preserve"> </w:t>
      </w:r>
    </w:p>
    <w:p w14:paraId="6718A445" w14:textId="77777777" w:rsidR="00C76103" w:rsidRPr="006438BA" w:rsidRDefault="00C76103" w:rsidP="00C76103">
      <w:r w:rsidRPr="006438BA">
        <w:t>Extra:</w:t>
      </w:r>
    </w:p>
    <w:p w14:paraId="2FD5AED9" w14:textId="4E532754" w:rsidR="00C76103" w:rsidRPr="006438BA" w:rsidRDefault="00C76103" w:rsidP="00C76103">
      <w:pPr>
        <w:pStyle w:val="ListParagraph"/>
        <w:numPr>
          <w:ilvl w:val="0"/>
          <w:numId w:val="7"/>
        </w:numPr>
      </w:pPr>
      <w:r w:rsidRPr="006438BA">
        <w:t xml:space="preserve">Table 8-8 Total Amounts of Annual Table A Water and Water Conveyed, by Type, 1962–2018 </w:t>
      </w:r>
    </w:p>
    <w:p w14:paraId="66C81B97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 xml:space="preserve">Table 8-9 SWP Water Delivered by Category, 1962–2018 </w:t>
      </w:r>
    </w:p>
    <w:p w14:paraId="5BA0CEAF" w14:textId="77777777" w:rsidR="000D4636" w:rsidRPr="006438BA" w:rsidRDefault="00C76103" w:rsidP="007A118F">
      <w:pPr>
        <w:pStyle w:val="ListParagraph"/>
        <w:ind w:left="0"/>
      </w:pPr>
      <w:r w:rsidRPr="006438BA">
        <w:t>This is for each category in table A delivered (Municipal, Ag), Article 21 and other SWP water deliveries (feather river diversions, fish wildlife and other</w:t>
      </w:r>
      <w:r w:rsidR="000D4636" w:rsidRPr="006438BA">
        <w:t>)</w:t>
      </w:r>
    </w:p>
    <w:p w14:paraId="1EA10A9F" w14:textId="77777777" w:rsidR="00EC05A1" w:rsidRPr="006438BA" w:rsidRDefault="00EC05A1" w:rsidP="00EC05A1">
      <w:pPr>
        <w:pStyle w:val="ListParagraph"/>
        <w:numPr>
          <w:ilvl w:val="0"/>
          <w:numId w:val="6"/>
        </w:numPr>
      </w:pPr>
      <w:r w:rsidRPr="006438BA">
        <w:t>Table B-5A-Adj:</w:t>
      </w:r>
    </w:p>
    <w:p w14:paraId="23213BD2" w14:textId="77777777" w:rsidR="00EC05A1" w:rsidRPr="006438BA" w:rsidRDefault="00EC05A1" w:rsidP="007A118F">
      <w:r w:rsidRPr="006438BA">
        <w:t xml:space="preserve">This presents a summary of accounting adjustments that result from water deliveries not originating from the Sacramento-San Joaquin Delta (Delta). </w:t>
      </w:r>
    </w:p>
    <w:p w14:paraId="4D00BAC2" w14:textId="77777777" w:rsidR="00EC05A1" w:rsidRPr="006438BA" w:rsidRDefault="00EC05A1" w:rsidP="007A118F">
      <w:r w:rsidRPr="006438BA">
        <w:t xml:space="preserve">The methodologies used to calculate various components are based on cumulative charges from the Delta through facilities conveying water to a specific repayment reach. When water is introduced to the SWP downstream of the Delta, SWP </w:t>
      </w:r>
      <w:proofErr w:type="gramStart"/>
      <w:r w:rsidRPr="006438BA">
        <w:t>water</w:t>
      </w:r>
      <w:proofErr w:type="gramEnd"/>
      <w:r w:rsidRPr="006438BA">
        <w:t xml:space="preserve"> </w:t>
      </w:r>
    </w:p>
    <w:p w14:paraId="2ED50171" w14:textId="77777777" w:rsidR="000D4636" w:rsidRPr="006438BA" w:rsidRDefault="000D4636" w:rsidP="000D4636">
      <w:pPr>
        <w:rPr>
          <w:b/>
          <w:bCs/>
        </w:rPr>
      </w:pPr>
    </w:p>
    <w:p w14:paraId="2ABC9966" w14:textId="02A2D305" w:rsidR="000D4636" w:rsidRPr="006438BA" w:rsidRDefault="000D4636" w:rsidP="000D4636">
      <w:r w:rsidRPr="006438BA">
        <w:rPr>
          <w:b/>
          <w:bCs/>
        </w:rPr>
        <w:lastRenderedPageBreak/>
        <w:t xml:space="preserve">SWP Water. </w:t>
      </w:r>
      <w:r w:rsidRPr="006438BA">
        <w:t>as defined in the SWP Water Supply Contracts, includes Article 21 water, carryover Table A water, current year Table A amounts, transfer and exchange of Table A water, and Turn</w:t>
      </w:r>
      <w:r w:rsidRPr="006438BA">
        <w:t xml:space="preserve"> </w:t>
      </w:r>
      <w:r w:rsidRPr="006438BA">
        <w:t>Back Pools A and B. Detailed information concerning those conveyances for 2018 is found under the “Miscellaneous Agreements with SWP Contractors” section in this chapter’s preceding pages or is listed below.</w:t>
      </w:r>
    </w:p>
    <w:p w14:paraId="1ECBF7B4" w14:textId="748A2B07" w:rsidR="00F85B39" w:rsidRPr="006438BA" w:rsidRDefault="000D4636" w:rsidP="000D4636">
      <w:r w:rsidRPr="006438BA">
        <w:rPr>
          <w:b/>
          <w:bCs/>
        </w:rPr>
        <w:t xml:space="preserve">Non-SWP Water. </w:t>
      </w:r>
      <w:r w:rsidRPr="006438BA">
        <w:t xml:space="preserve">In 2018, DWR used SWP facilities to convey non-SWP water </w:t>
      </w:r>
      <w:proofErr w:type="gramStart"/>
      <w:r w:rsidRPr="006438BA">
        <w:t>for</w:t>
      </w:r>
      <w:proofErr w:type="gramEnd"/>
      <w:r w:rsidRPr="006438BA">
        <w:t xml:space="preserve"> various non</w:t>
      </w:r>
      <w:r w:rsidRPr="006438BA">
        <w:noBreakHyphen/>
        <w:t>SWP agencies according to the terms of water rights and water transfer and exchange agreements. Detailed information concerning those deliveries is in this chapter.</w:t>
      </w:r>
      <w:r w:rsidR="00C76103" w:rsidRPr="006438BA">
        <w:t xml:space="preserve"> </w:t>
      </w:r>
      <w:r w:rsidR="00F85B39" w:rsidRPr="006438BA">
        <w:br w:type="page"/>
      </w:r>
    </w:p>
    <w:p w14:paraId="0B0FCB72" w14:textId="77777777" w:rsidR="00AC4C75" w:rsidRPr="006438BA" w:rsidRDefault="00AC4C75"/>
    <w:p w14:paraId="71128295" w14:textId="77777777" w:rsidR="00B63B1E" w:rsidRPr="00B63B1E" w:rsidRDefault="00F85B39" w:rsidP="00F85B39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szCs w:val="24"/>
          <w:u w:val="none"/>
        </w:rPr>
      </w:pPr>
      <w:r w:rsidRPr="006438BA">
        <w:t>Groundwater</w:t>
      </w:r>
    </w:p>
    <w:p w14:paraId="5D297413" w14:textId="0FF7C29B" w:rsidR="00B63B1E" w:rsidRDefault="00B63B1E" w:rsidP="00B63B1E">
      <w:r>
        <w:t xml:space="preserve">Groundwater </w:t>
      </w:r>
      <w:r w:rsidR="00FB7B85">
        <w:t>delivery</w:t>
      </w:r>
      <w:r>
        <w:t xml:space="preserve"> data is only available through water data portfolios. </w:t>
      </w:r>
      <w:proofErr w:type="gramStart"/>
      <w:r w:rsidRPr="00B63B1E">
        <w:t>We</w:t>
      </w:r>
      <w:r>
        <w:t>’ve</w:t>
      </w:r>
      <w:proofErr w:type="gramEnd"/>
      <w:r w:rsidRPr="00B63B1E">
        <w:t xml:space="preserve"> tr</w:t>
      </w:r>
      <w:r>
        <w:t>ied</w:t>
      </w:r>
      <w:r w:rsidRPr="00B63B1E">
        <w:t xml:space="preserve"> to identify a relationship </w:t>
      </w:r>
      <w:r w:rsidR="00FB7B85">
        <w:t>between</w:t>
      </w:r>
      <w:r w:rsidRPr="00B63B1E">
        <w:t xml:space="preserve"> </w:t>
      </w:r>
      <w:r>
        <w:t>the</w:t>
      </w:r>
      <w:r w:rsidRPr="00B63B1E">
        <w:t xml:space="preserve"> groundwater indicators</w:t>
      </w:r>
      <w:r w:rsidR="00FB7B85">
        <w:t xml:space="preserve"> and the deliveries</w:t>
      </w:r>
      <w:r>
        <w:t>.</w:t>
      </w:r>
      <w:r w:rsidRPr="00B63B1E">
        <w:t xml:space="preserve"> </w:t>
      </w:r>
    </w:p>
    <w:p w14:paraId="721C493A" w14:textId="52A7FF5F" w:rsidR="008213F4" w:rsidRDefault="008213F4" w:rsidP="00B63B1E">
      <w:r>
        <w:t xml:space="preserve">Moderate correlation </w:t>
      </w:r>
      <w:proofErr w:type="gramStart"/>
      <w:r>
        <w:t>is observed</w:t>
      </w:r>
      <w:proofErr w:type="gramEnd"/>
      <w:r>
        <w:t xml:space="preserve"> between the pumping intensity indicator (annual changes in groundwater elevations) and groundwater deliveries (r2=0.5765). No correlation exists between surface deliveries (</w:t>
      </w:r>
      <w:proofErr w:type="spellStart"/>
      <w:r>
        <w:t>SWP+Colorado+imports</w:t>
      </w:r>
      <w:proofErr w:type="spellEnd"/>
      <w:r>
        <w:t xml:space="preserve">) and </w:t>
      </w:r>
      <w:r>
        <w:t>groundwater deliveries (r2=0.</w:t>
      </w:r>
      <w:r>
        <w:t>0024</w:t>
      </w:r>
      <w:r>
        <w:t>)</w:t>
      </w:r>
      <w:r>
        <w:t xml:space="preserve">. Figures for both </w:t>
      </w:r>
      <w:r w:rsidR="00AF6F64">
        <w:t>are</w:t>
      </w:r>
      <w:r>
        <w:t xml:space="preserve"> below.</w:t>
      </w:r>
    </w:p>
    <w:p w14:paraId="247F5CB0" w14:textId="44BA2B24" w:rsidR="008213F4" w:rsidRDefault="008213F4" w:rsidP="00B63B1E">
      <w:r>
        <w:rPr>
          <w:noProof/>
        </w:rPr>
        <w:drawing>
          <wp:inline distT="0" distB="0" distL="0" distR="0" wp14:anchorId="3515EE67" wp14:editId="2FF54CA9">
            <wp:extent cx="4505243" cy="2765342"/>
            <wp:effectExtent l="0" t="0" r="10160" b="16510"/>
            <wp:docPr id="11018321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1FD9FE-ACBF-49E3-BDC4-88A84792F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5D3E06F" w14:textId="7520B68B" w:rsidR="008213F4" w:rsidRDefault="008213F4" w:rsidP="00B63B1E">
      <w:r>
        <w:rPr>
          <w:noProof/>
        </w:rPr>
        <w:drawing>
          <wp:inline distT="0" distB="0" distL="0" distR="0" wp14:anchorId="0307F3C0" wp14:editId="708AC4E0">
            <wp:extent cx="4572000" cy="2743200"/>
            <wp:effectExtent l="0" t="0" r="0" b="0"/>
            <wp:docPr id="5016452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D6DB25-B157-A26C-62C7-B087C7613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6822D54" w14:textId="77777777" w:rsidR="00AF6F64" w:rsidRDefault="00AF6F64" w:rsidP="00B63B1E"/>
    <w:p w14:paraId="29B3D509" w14:textId="101E97FC" w:rsidR="00F85B39" w:rsidRPr="006438BA" w:rsidRDefault="00B63B1E" w:rsidP="00B63B1E">
      <w:r>
        <w:lastRenderedPageBreak/>
        <w:t xml:space="preserve"> </w:t>
      </w:r>
      <w:r w:rsidR="00F85B39" w:rsidRPr="006438BA">
        <w:br w:type="page"/>
      </w:r>
    </w:p>
    <w:p w14:paraId="6DA74761" w14:textId="4FD7ED34" w:rsidR="00F85B39" w:rsidRDefault="00F85B39" w:rsidP="00F85B39">
      <w:pPr>
        <w:pStyle w:val="Heading2"/>
        <w:numPr>
          <w:ilvl w:val="0"/>
          <w:numId w:val="2"/>
        </w:numPr>
      </w:pPr>
      <w:r w:rsidRPr="006438BA">
        <w:lastRenderedPageBreak/>
        <w:t>Los Angeles Aqueduct</w:t>
      </w:r>
    </w:p>
    <w:p w14:paraId="7258242B" w14:textId="77777777" w:rsidR="003D0003" w:rsidRDefault="008B70C6" w:rsidP="003D0003">
      <w:r w:rsidRPr="008B70C6">
        <w:t xml:space="preserve">Los Angeles Aqueduct comes from </w:t>
      </w:r>
      <w:r w:rsidR="003D0003">
        <w:t xml:space="preserve">Mono Lake in the </w:t>
      </w:r>
      <w:r w:rsidR="000C572A">
        <w:t>Owen</w:t>
      </w:r>
      <w:r w:rsidR="003D0003">
        <w:t>s</w:t>
      </w:r>
      <w:r w:rsidR="000C572A">
        <w:t xml:space="preserve"> valley</w:t>
      </w:r>
      <w:r w:rsidR="003D0003">
        <w:t xml:space="preserve">, located in </w:t>
      </w:r>
      <w:r w:rsidR="000C572A">
        <w:t>the Sierra Nevada mountains.</w:t>
      </w:r>
      <w:r w:rsidR="003D0003">
        <w:t xml:space="preserve"> </w:t>
      </w:r>
      <w:r w:rsidR="003D0003">
        <w:t>E</w:t>
      </w:r>
      <w:r w:rsidR="003D0003" w:rsidRPr="005A37BF">
        <w:t>nvironmental regulations implemented in the 1980s</w:t>
      </w:r>
      <w:r w:rsidR="003D0003">
        <w:t xml:space="preserve"> for Mono Lake </w:t>
      </w:r>
      <w:r w:rsidR="003D0003">
        <w:t>have</w:t>
      </w:r>
      <w:r w:rsidR="003D0003">
        <w:t xml:space="preserve"> led to significant reductions in water diversions which</w:t>
      </w:r>
      <w:r w:rsidR="003D0003" w:rsidRPr="003D0003">
        <w:t xml:space="preserve"> </w:t>
      </w:r>
      <w:r w:rsidR="003D0003" w:rsidRPr="005A37BF">
        <w:t>has decreased</w:t>
      </w:r>
      <w:r w:rsidR="003D0003">
        <w:t xml:space="preserve"> </w:t>
      </w:r>
      <w:r w:rsidR="003D0003" w:rsidRPr="005A37BF">
        <w:t xml:space="preserve">the </w:t>
      </w:r>
      <w:r w:rsidR="003D0003">
        <w:t>supply</w:t>
      </w:r>
      <w:r w:rsidR="003D0003" w:rsidRPr="005A37BF">
        <w:t xml:space="preserve"> of the L</w:t>
      </w:r>
      <w:r w:rsidR="003D0003">
        <w:t xml:space="preserve">A </w:t>
      </w:r>
      <w:r w:rsidR="003D0003" w:rsidRPr="005A37BF">
        <w:t>Aqueduct.</w:t>
      </w:r>
      <w:r w:rsidR="003D0003">
        <w:t xml:space="preserve"> </w:t>
      </w:r>
    </w:p>
    <w:p w14:paraId="6AA5429B" w14:textId="53067ED9" w:rsidR="008B70C6" w:rsidRPr="008B70C6" w:rsidRDefault="009848FB" w:rsidP="003D0003">
      <w:r>
        <w:t>We</w:t>
      </w:r>
      <w:r w:rsidR="000C572A">
        <w:t xml:space="preserve"> will be utilizing SWDI South Lahontan indicator to predict the LA aqueduct</w:t>
      </w:r>
      <w:r w:rsidR="003D0003">
        <w:t xml:space="preserve"> supply because </w:t>
      </w:r>
      <w:proofErr w:type="gramStart"/>
      <w:r w:rsidR="003D0003">
        <w:t>it’s</w:t>
      </w:r>
      <w:proofErr w:type="gramEnd"/>
      <w:r w:rsidR="003D0003">
        <w:t xml:space="preserve"> located in the South Lahontan hydrologic region</w:t>
      </w:r>
      <w:r w:rsidR="000C572A">
        <w:t>.</w:t>
      </w:r>
    </w:p>
    <w:p w14:paraId="52409307" w14:textId="77777777" w:rsidR="008B70C6" w:rsidRDefault="008B70C6" w:rsidP="008B70C6">
      <w:pPr>
        <w:rPr>
          <w:lang w:val="es-ES"/>
        </w:rPr>
      </w:pPr>
    </w:p>
    <w:p w14:paraId="70499A75" w14:textId="04D85E6E" w:rsidR="008B70C6" w:rsidRPr="008B70C6" w:rsidRDefault="008B70C6" w:rsidP="008B70C6">
      <w:pPr>
        <w:rPr>
          <w:lang w:val="es-ES"/>
        </w:rPr>
      </w:pPr>
      <w:r>
        <w:rPr>
          <w:noProof/>
        </w:rPr>
        <w:drawing>
          <wp:inline distT="0" distB="0" distL="0" distR="0" wp14:anchorId="66B88AA1" wp14:editId="4DA9B733">
            <wp:extent cx="1949570" cy="1854646"/>
            <wp:effectExtent l="0" t="0" r="0" b="0"/>
            <wp:docPr id="9772886" name="Picture 1" descr="San Fernando Valley Group | Water, Garbage &amp; Renewables | Sierra Club  Angeles 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 Fernando Valley Group | Water, Garbage &amp; Renewables | Sierra Club  Angeles Chap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647" cy="186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0B98" w14:textId="24D99CF5" w:rsidR="009848FB" w:rsidRDefault="009848FB" w:rsidP="009848FB">
      <w:pPr>
        <w:pStyle w:val="Heading3"/>
        <w:numPr>
          <w:ilvl w:val="1"/>
          <w:numId w:val="2"/>
        </w:numPr>
      </w:pPr>
      <w:r>
        <w:t>Water Data Portfolio</w:t>
      </w:r>
    </w:p>
    <w:p w14:paraId="212D8934" w14:textId="3038031F" w:rsidR="009848FB" w:rsidRDefault="009848FB" w:rsidP="002377F1">
      <w:r>
        <w:t xml:space="preserve">DWR’s import data is in water year and shows high correlation with SWDI SL (r2=0.8624) as shown in figure below. </w:t>
      </w:r>
      <w:r w:rsidR="002377F1">
        <w:t>A similar</w:t>
      </w:r>
      <w:r>
        <w:t xml:space="preserve"> high correlation </w:t>
      </w:r>
      <w:proofErr w:type="gramStart"/>
      <w:r>
        <w:t>is observed</w:t>
      </w:r>
      <w:proofErr w:type="gramEnd"/>
      <w:r>
        <w:t xml:space="preserve"> with SWDI delta (r2=0.8621); This could be because </w:t>
      </w:r>
      <w:r w:rsidR="002377F1" w:rsidRPr="002377F1">
        <w:t>both the Los Angeles Aqueduct and the State Water Project rely on hydrological conditions in the Sierra Nevada mountains for their water supply</w:t>
      </w:r>
      <w:r w:rsidR="002377F1">
        <w:t xml:space="preserve">. Whereas, </w:t>
      </w:r>
      <w:r w:rsidR="002377F1">
        <w:t>SWDI SC</w:t>
      </w:r>
      <w:r w:rsidR="002377F1">
        <w:t xml:space="preserve"> has l</w:t>
      </w:r>
      <w:r>
        <w:t xml:space="preserve">ower correlation </w:t>
      </w:r>
      <w:r w:rsidR="002377F1">
        <w:t>(r2=0.5976), which makes sense as t</w:t>
      </w:r>
      <w:r w:rsidR="00B63B1E">
        <w:t xml:space="preserve">he water surface condition in </w:t>
      </w:r>
      <w:r w:rsidR="002E494A">
        <w:t>SoCal</w:t>
      </w:r>
      <w:r w:rsidR="00B63B1E">
        <w:t xml:space="preserve"> is not reflective of LA aqueduct supply.</w:t>
      </w:r>
    </w:p>
    <w:p w14:paraId="6D3A05A6" w14:textId="77777777" w:rsidR="005E0411" w:rsidRDefault="005E0411" w:rsidP="002377F1"/>
    <w:p w14:paraId="69B241EF" w14:textId="77777777" w:rsidR="005E0411" w:rsidRPr="009848FB" w:rsidRDefault="005E0411" w:rsidP="002377F1"/>
    <w:p w14:paraId="525C7EBA" w14:textId="69BF392C" w:rsidR="009848FB" w:rsidRPr="009848FB" w:rsidRDefault="009848FB" w:rsidP="009848FB">
      <w:r>
        <w:rPr>
          <w:noProof/>
        </w:rPr>
        <w:lastRenderedPageBreak/>
        <w:drawing>
          <wp:inline distT="0" distB="0" distL="0" distR="0" wp14:anchorId="68014B9C" wp14:editId="14BE9ED4">
            <wp:extent cx="4735792" cy="2736851"/>
            <wp:effectExtent l="0" t="0" r="8255" b="6350"/>
            <wp:docPr id="4918264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2F39C8-DD7E-486A-9699-9CA0641BC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1012F5B" w14:textId="307BE328" w:rsidR="009848FB" w:rsidRPr="009848FB" w:rsidRDefault="009848FB" w:rsidP="009848FB"/>
    <w:p w14:paraId="48E147AC" w14:textId="4538CDC8" w:rsidR="008B70C6" w:rsidRDefault="008B70C6" w:rsidP="008B70C6">
      <w:pPr>
        <w:pStyle w:val="Heading3"/>
        <w:numPr>
          <w:ilvl w:val="1"/>
          <w:numId w:val="2"/>
        </w:numPr>
      </w:pPr>
      <w:r w:rsidRPr="008B70C6">
        <w:t>MWD</w:t>
      </w:r>
    </w:p>
    <w:p w14:paraId="364D2005" w14:textId="3D81CD92" w:rsidR="008B70C6" w:rsidRDefault="008B70C6" w:rsidP="003D0003">
      <w:r w:rsidRPr="008B70C6">
        <w:t xml:space="preserve"> </w:t>
      </w:r>
      <w:r>
        <w:t xml:space="preserve">MWD </w:t>
      </w:r>
      <w:r>
        <w:t xml:space="preserve">historic supply </w:t>
      </w:r>
      <w:r>
        <w:t xml:space="preserve">dataset spans from </w:t>
      </w:r>
      <w:commentRangeStart w:id="0"/>
      <w:r>
        <w:t xml:space="preserve">1976 to 2015 </w:t>
      </w:r>
      <w:commentRangeEnd w:id="0"/>
      <w:r w:rsidR="005A37BF">
        <w:rPr>
          <w:rStyle w:val="CommentReference"/>
        </w:rPr>
        <w:commentReference w:id="0"/>
      </w:r>
      <w:r w:rsidR="005A37BF">
        <w:t>as shown in the figure below</w:t>
      </w:r>
      <w:r>
        <w:t>.</w:t>
      </w:r>
      <w:r w:rsidR="003D0003">
        <w:t xml:space="preserve"> </w:t>
      </w:r>
    </w:p>
    <w:p w14:paraId="10D0D567" w14:textId="20355CCF" w:rsidR="000C572A" w:rsidRDefault="009848FB" w:rsidP="008B70C6">
      <w:r>
        <w:rPr>
          <w:noProof/>
        </w:rPr>
        <w:drawing>
          <wp:inline distT="0" distB="0" distL="0" distR="0" wp14:anchorId="3A363FBA" wp14:editId="4E3783D5">
            <wp:extent cx="4572000" cy="2838450"/>
            <wp:effectExtent l="0" t="0" r="0" b="0"/>
            <wp:docPr id="8155626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32FD99-7CAE-51C8-57B4-494BFC1FD4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58FA5A0" w14:textId="5B5332CC" w:rsidR="008B70C6" w:rsidRDefault="008B70C6" w:rsidP="008B70C6">
      <w:r>
        <w:t xml:space="preserve">MWD’s Aqueduct with DWR’s Imports data reveals </w:t>
      </w:r>
      <w:r w:rsidR="000C572A">
        <w:t>a remarkably high</w:t>
      </w:r>
      <w:r>
        <w:t xml:space="preserve"> correlation of r2=0.9316. </w:t>
      </w:r>
      <w:r w:rsidRPr="008B70C6">
        <w:t xml:space="preserve">This strong correlation reassures us that the datasets are </w:t>
      </w:r>
      <w:r w:rsidR="000C572A">
        <w:t>similar</w:t>
      </w:r>
      <w:r>
        <w:t>.</w:t>
      </w:r>
      <w:r w:rsidRPr="008B70C6">
        <w:t xml:space="preserve"> </w:t>
      </w:r>
    </w:p>
    <w:p w14:paraId="7C8A28FB" w14:textId="144FA174" w:rsidR="003D0003" w:rsidRDefault="003D0003" w:rsidP="003D0003">
      <w:r>
        <w:t xml:space="preserve">SWDI SL indicator </w:t>
      </w:r>
      <w:r>
        <w:t>(both for water year and calendar year)</w:t>
      </w:r>
      <w:r>
        <w:t xml:space="preserve"> shows high correlation with MWD Aqueduct (</w:t>
      </w:r>
      <w:r>
        <w:t>respectively</w:t>
      </w:r>
      <w:r>
        <w:t xml:space="preserve">, </w:t>
      </w:r>
      <w:r>
        <w:t>r2=</w:t>
      </w:r>
      <w:r w:rsidRPr="003D0003">
        <w:t>0.7979</w:t>
      </w:r>
      <w:r>
        <w:t xml:space="preserve"> and r2=0.7973)</w:t>
      </w:r>
    </w:p>
    <w:p w14:paraId="79052453" w14:textId="0727B62E" w:rsidR="003D0003" w:rsidRDefault="003D0003" w:rsidP="008B70C6">
      <w:r>
        <w:rPr>
          <w:noProof/>
        </w:rPr>
        <w:lastRenderedPageBreak/>
        <w:drawing>
          <wp:inline distT="0" distB="0" distL="0" distR="0" wp14:anchorId="1984C8D9" wp14:editId="66CB4276">
            <wp:extent cx="4572000" cy="2838450"/>
            <wp:effectExtent l="0" t="0" r="0" b="0"/>
            <wp:docPr id="10857730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75F832-6B62-414B-A4D0-4EE77ADE77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0B7E014" w14:textId="77777777" w:rsidR="003D0003" w:rsidRDefault="003D0003" w:rsidP="008B70C6"/>
    <w:p w14:paraId="04358399" w14:textId="191C1C2F" w:rsidR="003D0003" w:rsidRDefault="003D0003" w:rsidP="008B70C6">
      <w:r>
        <w:t>b</w:t>
      </w:r>
    </w:p>
    <w:p w14:paraId="26A68A33" w14:textId="77777777" w:rsidR="000C572A" w:rsidRDefault="000C572A" w:rsidP="008B70C6"/>
    <w:p w14:paraId="09AD4D59" w14:textId="77777777" w:rsidR="000C572A" w:rsidRDefault="000C572A" w:rsidP="008B70C6"/>
    <w:p w14:paraId="0062DEDF" w14:textId="6B3BF0BE" w:rsidR="00F85B39" w:rsidRPr="008B70C6" w:rsidRDefault="00F85B39" w:rsidP="008B70C6">
      <w:r w:rsidRPr="008B70C6">
        <w:br w:type="page"/>
      </w:r>
    </w:p>
    <w:p w14:paraId="329D1914" w14:textId="2A2149EA" w:rsidR="00F85B39" w:rsidRPr="006438BA" w:rsidRDefault="00F85B39" w:rsidP="00F85B39">
      <w:pPr>
        <w:pStyle w:val="Heading2"/>
        <w:numPr>
          <w:ilvl w:val="0"/>
          <w:numId w:val="2"/>
        </w:numPr>
      </w:pPr>
      <w:r w:rsidRPr="006438BA">
        <w:lastRenderedPageBreak/>
        <w:t>Colorado River</w:t>
      </w:r>
    </w:p>
    <w:p w14:paraId="01414125" w14:textId="77777777" w:rsidR="00F85B39" w:rsidRPr="006438BA" w:rsidRDefault="00F85B39">
      <w:r w:rsidRPr="006438BA">
        <w:br w:type="page"/>
      </w:r>
    </w:p>
    <w:p w14:paraId="4D23E4B8" w14:textId="77777777" w:rsidR="00F85B39" w:rsidRPr="006438BA" w:rsidRDefault="00F85B39">
      <w:r w:rsidRPr="006438BA">
        <w:lastRenderedPageBreak/>
        <w:br w:type="page"/>
      </w:r>
    </w:p>
    <w:p w14:paraId="244F3789" w14:textId="77777777" w:rsidR="00F85B39" w:rsidRPr="006438BA" w:rsidRDefault="00F85B39">
      <w:r w:rsidRPr="006438BA">
        <w:lastRenderedPageBreak/>
        <w:br w:type="page"/>
      </w:r>
    </w:p>
    <w:p w14:paraId="7A147DFF" w14:textId="750A3990" w:rsidR="000F2F25" w:rsidRPr="006438BA" w:rsidRDefault="00382302" w:rsidP="000F2F25">
      <w:r w:rsidRPr="006438BA">
        <w:lastRenderedPageBreak/>
        <w:t>Appendix</w:t>
      </w:r>
    </w:p>
    <w:p w14:paraId="556753EA" w14:textId="5FD3B88B" w:rsidR="00382302" w:rsidRDefault="00382302" w:rsidP="000F2F25">
      <w:r w:rsidRPr="006438BA">
        <w:drawing>
          <wp:inline distT="0" distB="0" distL="0" distR="0" wp14:anchorId="585B9ACA" wp14:editId="3A3FD415">
            <wp:extent cx="5943600" cy="1476375"/>
            <wp:effectExtent l="0" t="0" r="0" b="9525"/>
            <wp:docPr id="125858555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85552" name="Picture 1" descr="A close-up of a docume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rmen Konialian" w:date="2024-07-26T10:49:00Z" w:initials="AK">
    <w:p w14:paraId="48A5770F" w14:textId="77777777" w:rsidR="005A37BF" w:rsidRDefault="005A37BF" w:rsidP="005A37BF">
      <w:pPr>
        <w:pStyle w:val="CommentText"/>
      </w:pPr>
      <w:r>
        <w:rPr>
          <w:rStyle w:val="CommentReference"/>
        </w:rPr>
        <w:annotationRef/>
      </w:r>
      <w:r>
        <w:t>calendar year or water year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8A577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248BD2" w16cex:dateUtc="2024-07-26T1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8A5770F" w16cid:durableId="4B248B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A7E05"/>
    <w:multiLevelType w:val="hybridMultilevel"/>
    <w:tmpl w:val="A89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A0042"/>
    <w:multiLevelType w:val="hybridMultilevel"/>
    <w:tmpl w:val="238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549C1"/>
    <w:multiLevelType w:val="hybridMultilevel"/>
    <w:tmpl w:val="3816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217CA"/>
    <w:multiLevelType w:val="hybridMultilevel"/>
    <w:tmpl w:val="F902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5E2E"/>
    <w:multiLevelType w:val="hybridMultilevel"/>
    <w:tmpl w:val="CC50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0733"/>
    <w:multiLevelType w:val="hybridMultilevel"/>
    <w:tmpl w:val="DC728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C3137"/>
    <w:multiLevelType w:val="hybridMultilevel"/>
    <w:tmpl w:val="92C6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E5754"/>
    <w:multiLevelType w:val="hybridMultilevel"/>
    <w:tmpl w:val="9BA0B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4229348">
    <w:abstractNumId w:val="4"/>
  </w:num>
  <w:num w:numId="2" w16cid:durableId="1868522982">
    <w:abstractNumId w:val="7"/>
  </w:num>
  <w:num w:numId="3" w16cid:durableId="1265193721">
    <w:abstractNumId w:val="5"/>
  </w:num>
  <w:num w:numId="4" w16cid:durableId="1089424388">
    <w:abstractNumId w:val="6"/>
  </w:num>
  <w:num w:numId="5" w16cid:durableId="1966426652">
    <w:abstractNumId w:val="2"/>
  </w:num>
  <w:num w:numId="6" w16cid:durableId="118577460">
    <w:abstractNumId w:val="3"/>
  </w:num>
  <w:num w:numId="7" w16cid:durableId="898131002">
    <w:abstractNumId w:val="1"/>
  </w:num>
  <w:num w:numId="8" w16cid:durableId="19765207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rmen Konialian">
    <w15:presenceInfo w15:providerId="AD" w15:userId="S::armenkonia@PersonalMicrosoftSoftware.ucla.edu::3a501381-591b-4530-a1eb-26b9eea709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B6"/>
    <w:rsid w:val="00032174"/>
    <w:rsid w:val="00044566"/>
    <w:rsid w:val="000A2FBF"/>
    <w:rsid w:val="000C572A"/>
    <w:rsid w:val="000D4636"/>
    <w:rsid w:val="000F2F25"/>
    <w:rsid w:val="002377F1"/>
    <w:rsid w:val="002A046F"/>
    <w:rsid w:val="002E494A"/>
    <w:rsid w:val="00382302"/>
    <w:rsid w:val="003D0003"/>
    <w:rsid w:val="00567DEB"/>
    <w:rsid w:val="005A37BF"/>
    <w:rsid w:val="005E0411"/>
    <w:rsid w:val="006438BA"/>
    <w:rsid w:val="006A2147"/>
    <w:rsid w:val="006F5AA5"/>
    <w:rsid w:val="007A118F"/>
    <w:rsid w:val="008154B7"/>
    <w:rsid w:val="008213F4"/>
    <w:rsid w:val="008B70C6"/>
    <w:rsid w:val="009848FB"/>
    <w:rsid w:val="009C6074"/>
    <w:rsid w:val="00AC4C75"/>
    <w:rsid w:val="00AF6F64"/>
    <w:rsid w:val="00B46090"/>
    <w:rsid w:val="00B60BB2"/>
    <w:rsid w:val="00B63B1E"/>
    <w:rsid w:val="00C171D3"/>
    <w:rsid w:val="00C579CD"/>
    <w:rsid w:val="00C76103"/>
    <w:rsid w:val="00CB2DE3"/>
    <w:rsid w:val="00DE37E4"/>
    <w:rsid w:val="00EC05A1"/>
    <w:rsid w:val="00EE2399"/>
    <w:rsid w:val="00F61527"/>
    <w:rsid w:val="00F85B39"/>
    <w:rsid w:val="00F904B6"/>
    <w:rsid w:val="00FA72BE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9C43"/>
  <w15:chartTrackingRefBased/>
  <w15:docId w15:val="{E677EDE7-0B16-441B-B93F-B1A16221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090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47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090"/>
    <w:rPr>
      <w:rFonts w:asciiTheme="majorHAnsi" w:eastAsiaTheme="majorEastAsia" w:hAnsiTheme="majorHAnsi" w:cstheme="majorBidi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6090"/>
    <w:rPr>
      <w:rFonts w:eastAsiaTheme="majorEastAsia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B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B2DE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3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7B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chart" Target="charts/chart2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4.png"/><Relationship Id="rId10" Type="http://schemas.openxmlformats.org/officeDocument/2006/relationships/chart" Target="charts/chart5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7.xml"/><Relationship Id="rId22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MWD%20sources%20Fig%2003_sourc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WP%20Allocation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MWD%20sources%20Fig%2003_sourc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8"/>
          <c:order val="0"/>
          <c:tx>
            <c:strRef>
              <c:f>Main!$Z$4</c:f>
              <c:strCache>
                <c:ptCount val="1"/>
                <c:pt idx="0">
                  <c:v>SWP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Main!$Z$5:$Z$22</c:f>
              <c:numCache>
                <c:formatCode>General</c:formatCode>
                <c:ptCount val="18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  <c:pt idx="6">
                  <c:v>1269.2</c:v>
                </c:pt>
                <c:pt idx="7">
                  <c:v>985.7</c:v>
                </c:pt>
                <c:pt idx="8">
                  <c:v>826.9</c:v>
                </c:pt>
                <c:pt idx="9">
                  <c:v>900.69999999999902</c:v>
                </c:pt>
                <c:pt idx="10">
                  <c:v>1170.3999999999901</c:v>
                </c:pt>
                <c:pt idx="11">
                  <c:v>1060.8</c:v>
                </c:pt>
                <c:pt idx="12">
                  <c:v>642.9</c:v>
                </c:pt>
                <c:pt idx="13">
                  <c:v>456.4</c:v>
                </c:pt>
                <c:pt idx="14">
                  <c:v>917.3</c:v>
                </c:pt>
                <c:pt idx="15">
                  <c:v>1042.9000000000001</c:v>
                </c:pt>
                <c:pt idx="16">
                  <c:v>921.5</c:v>
                </c:pt>
                <c:pt idx="17">
                  <c:v>1039.5999999999999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4D-4FB2-A957-11875D646675}"/>
            </c:ext>
          </c:extLst>
        </c:ser>
        <c:ser>
          <c:idx val="0"/>
          <c:order val="1"/>
          <c:tx>
            <c:strRef>
              <c:f>Main!$R$4</c:f>
              <c:strCache>
                <c:ptCount val="1"/>
                <c:pt idx="0">
                  <c:v>Colorado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Main!$R$5:$R$22</c:f>
              <c:numCache>
                <c:formatCode>General</c:formatCode>
                <c:ptCount val="18"/>
                <c:pt idx="0">
                  <c:v>1309.3</c:v>
                </c:pt>
                <c:pt idx="1">
                  <c:v>756.6</c:v>
                </c:pt>
                <c:pt idx="2">
                  <c:v>1098.5</c:v>
                </c:pt>
                <c:pt idx="3">
                  <c:v>771.69999999999902</c:v>
                </c:pt>
                <c:pt idx="4">
                  <c:v>806.7</c:v>
                </c:pt>
                <c:pt idx="5">
                  <c:v>1079.4000000000001</c:v>
                </c:pt>
                <c:pt idx="6">
                  <c:v>1254.4000000000001</c:v>
                </c:pt>
                <c:pt idx="7">
                  <c:v>1216.4000000000001</c:v>
                </c:pt>
                <c:pt idx="8">
                  <c:v>987.8</c:v>
                </c:pt>
                <c:pt idx="9">
                  <c:v>955.8</c:v>
                </c:pt>
                <c:pt idx="10">
                  <c:v>902.19999999999902</c:v>
                </c:pt>
                <c:pt idx="11">
                  <c:v>1304.0999999999999</c:v>
                </c:pt>
                <c:pt idx="12">
                  <c:v>1730.3</c:v>
                </c:pt>
                <c:pt idx="13">
                  <c:v>1573.2</c:v>
                </c:pt>
                <c:pt idx="14">
                  <c:v>1186.5999999999999</c:v>
                </c:pt>
                <c:pt idx="15">
                  <c:v>917.1</c:v>
                </c:pt>
                <c:pt idx="16">
                  <c:v>775.4</c:v>
                </c:pt>
                <c:pt idx="17">
                  <c:v>834.7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4D-4FB2-A957-11875D646675}"/>
            </c:ext>
          </c:extLst>
        </c:ser>
        <c:ser>
          <c:idx val="4"/>
          <c:order val="2"/>
          <c:tx>
            <c:strRef>
              <c:f>Main!$V$4</c:f>
              <c:strCache>
                <c:ptCount val="1"/>
                <c:pt idx="0">
                  <c:v>Groundwater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Main!$V$5:$V$22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4D-4FB2-A957-11875D646675}"/>
            </c:ext>
          </c:extLst>
        </c:ser>
        <c:ser>
          <c:idx val="6"/>
          <c:order val="3"/>
          <c:tx>
            <c:strRef>
              <c:f>Main!$X$4</c:f>
              <c:strCache>
                <c:ptCount val="1"/>
                <c:pt idx="0">
                  <c:v>LocalSupplies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Main!$X$5:$X$22</c:f>
              <c:numCache>
                <c:formatCode>General</c:formatCode>
                <c:ptCount val="18"/>
                <c:pt idx="0">
                  <c:v>144.9</c:v>
                </c:pt>
                <c:pt idx="1">
                  <c:v>122</c:v>
                </c:pt>
                <c:pt idx="2">
                  <c:v>100.8</c:v>
                </c:pt>
                <c:pt idx="3">
                  <c:v>189.2</c:v>
                </c:pt>
                <c:pt idx="4">
                  <c:v>231.3</c:v>
                </c:pt>
                <c:pt idx="5">
                  <c:v>141.30000000000001</c:v>
                </c:pt>
                <c:pt idx="6">
                  <c:v>201.6</c:v>
                </c:pt>
                <c:pt idx="7">
                  <c:v>179.9</c:v>
                </c:pt>
                <c:pt idx="8">
                  <c:v>220.29999999999899</c:v>
                </c:pt>
                <c:pt idx="9">
                  <c:v>214.3</c:v>
                </c:pt>
                <c:pt idx="10">
                  <c:v>236.5</c:v>
                </c:pt>
                <c:pt idx="11">
                  <c:v>196.5</c:v>
                </c:pt>
                <c:pt idx="12">
                  <c:v>168</c:v>
                </c:pt>
                <c:pt idx="13">
                  <c:v>164</c:v>
                </c:pt>
                <c:pt idx="14">
                  <c:v>90.399999999999906</c:v>
                </c:pt>
                <c:pt idx="15">
                  <c:v>107.6</c:v>
                </c:pt>
                <c:pt idx="16">
                  <c:v>170.7</c:v>
                </c:pt>
                <c:pt idx="17">
                  <c:v>173.6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4D-4FB2-A957-11875D646675}"/>
            </c:ext>
          </c:extLst>
        </c:ser>
        <c:ser>
          <c:idx val="3"/>
          <c:order val="4"/>
          <c:tx>
            <c:strRef>
              <c:f>Main!$U$4</c:f>
              <c:strCache>
                <c:ptCount val="1"/>
                <c:pt idx="0">
                  <c:v>Federal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Main!$U$5:$U$22</c:f>
              <c:numCache>
                <c:formatCode>General</c:formatCode>
                <c:ptCount val="18"/>
                <c:pt idx="0">
                  <c:v>53.6</c:v>
                </c:pt>
                <c:pt idx="1">
                  <c:v>0.7</c:v>
                </c:pt>
                <c:pt idx="2">
                  <c:v>0.4</c:v>
                </c:pt>
                <c:pt idx="3">
                  <c:v>42.099999999999902</c:v>
                </c:pt>
                <c:pt idx="4">
                  <c:v>0.4</c:v>
                </c:pt>
                <c:pt idx="5">
                  <c:v>0</c:v>
                </c:pt>
                <c:pt idx="6">
                  <c:v>0.3</c:v>
                </c:pt>
                <c:pt idx="7">
                  <c:v>0.8</c:v>
                </c:pt>
                <c:pt idx="8">
                  <c:v>1.4</c:v>
                </c:pt>
                <c:pt idx="9">
                  <c:v>1.7</c:v>
                </c:pt>
                <c:pt idx="10">
                  <c:v>0.1</c:v>
                </c:pt>
                <c:pt idx="11">
                  <c:v>0</c:v>
                </c:pt>
                <c:pt idx="12">
                  <c:v>0.1</c:v>
                </c:pt>
                <c:pt idx="13">
                  <c:v>0.2</c:v>
                </c:pt>
                <c:pt idx="14">
                  <c:v>0.1</c:v>
                </c:pt>
                <c:pt idx="15">
                  <c:v>0</c:v>
                </c:pt>
                <c:pt idx="16">
                  <c:v>1.5</c:v>
                </c:pt>
                <c:pt idx="17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54D-4FB2-A957-11875D646675}"/>
            </c:ext>
          </c:extLst>
        </c:ser>
        <c:ser>
          <c:idx val="5"/>
          <c:order val="5"/>
          <c:tx>
            <c:strRef>
              <c:f>Main!$W$4</c:f>
              <c:strCache>
                <c:ptCount val="1"/>
                <c:pt idx="0">
                  <c:v>Imports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Main!$W$5:$W$22</c:f>
              <c:numCache>
                <c:formatCode>General</c:formatCode>
                <c:ptCount val="18"/>
                <c:pt idx="0">
                  <c:v>218.4</c:v>
                </c:pt>
                <c:pt idx="1">
                  <c:v>207.3</c:v>
                </c:pt>
                <c:pt idx="2">
                  <c:v>202.6</c:v>
                </c:pt>
                <c:pt idx="3">
                  <c:v>339.79999999999899</c:v>
                </c:pt>
                <c:pt idx="4">
                  <c:v>365.8</c:v>
                </c:pt>
                <c:pt idx="5">
                  <c:v>185.79999999999899</c:v>
                </c:pt>
                <c:pt idx="6">
                  <c:v>138.19999999999999</c:v>
                </c:pt>
                <c:pt idx="7">
                  <c:v>98.8</c:v>
                </c:pt>
                <c:pt idx="8">
                  <c:v>241.6</c:v>
                </c:pt>
                <c:pt idx="9">
                  <c:v>324.89999999999998</c:v>
                </c:pt>
                <c:pt idx="10">
                  <c:v>200.1</c:v>
                </c:pt>
                <c:pt idx="11">
                  <c:v>74.5</c:v>
                </c:pt>
                <c:pt idx="12">
                  <c:v>51.5</c:v>
                </c:pt>
                <c:pt idx="13">
                  <c:v>35.200000000000003</c:v>
                </c:pt>
                <c:pt idx="14">
                  <c:v>96.1</c:v>
                </c:pt>
                <c:pt idx="15">
                  <c:v>284.2</c:v>
                </c:pt>
                <c:pt idx="16">
                  <c:v>309.3</c:v>
                </c:pt>
                <c:pt idx="17">
                  <c:v>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54D-4FB2-A957-11875D646675}"/>
            </c:ext>
          </c:extLst>
        </c:ser>
        <c:ser>
          <c:idx val="1"/>
          <c:order val="6"/>
          <c:tx>
            <c:strRef>
              <c:f>Main!$S$4</c:f>
              <c:strCache>
                <c:ptCount val="1"/>
                <c:pt idx="0">
                  <c:v>Desalination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Main!$S$5:$S$22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27.4</c:v>
                </c:pt>
                <c:pt idx="15">
                  <c:v>21.9</c:v>
                </c:pt>
                <c:pt idx="16">
                  <c:v>45.6</c:v>
                </c:pt>
                <c:pt idx="17">
                  <c:v>41.4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54D-4FB2-A957-11875D646675}"/>
            </c:ext>
          </c:extLst>
        </c:ser>
        <c:ser>
          <c:idx val="7"/>
          <c:order val="7"/>
          <c:tx>
            <c:strRef>
              <c:f>Main!$Y$4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Main!$Y$5:$Y$22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17.100000000000001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54D-4FB2-A957-11875D646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4"/>
        <c:overlap val="100"/>
        <c:axId val="852591504"/>
        <c:axId val="852633616"/>
      </c:barChart>
      <c:catAx>
        <c:axId val="85259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633616"/>
        <c:crosses val="autoZero"/>
        <c:auto val="1"/>
        <c:lblAlgn val="ctr"/>
        <c:lblOffset val="100"/>
        <c:noMultiLvlLbl val="0"/>
      </c:catAx>
      <c:valAx>
        <c:axId val="852633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Millions of acre-feet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591504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Aqueduct</a:t>
            </a:r>
            <a:r>
              <a:rPr lang="en-US" baseline="0"/>
              <a:t> MWD vs SWDI SL WY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1850524934383203"/>
                  <c:y val="-0.124286235053951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Aqueduct!$C$17:$C$41</c:f>
              <c:numCache>
                <c:formatCode>#,##0</c:formatCode>
                <c:ptCount val="25"/>
                <c:pt idx="0">
                  <c:v>186000</c:v>
                </c:pt>
                <c:pt idx="1">
                  <c:v>177000</c:v>
                </c:pt>
                <c:pt idx="2">
                  <c:v>289000</c:v>
                </c:pt>
                <c:pt idx="3">
                  <c:v>133000</c:v>
                </c:pt>
                <c:pt idx="4">
                  <c:v>464000</c:v>
                </c:pt>
                <c:pt idx="5">
                  <c:v>425000</c:v>
                </c:pt>
                <c:pt idx="6">
                  <c:v>436000</c:v>
                </c:pt>
                <c:pt idx="7">
                  <c:v>467000</c:v>
                </c:pt>
                <c:pt idx="8">
                  <c:v>309000</c:v>
                </c:pt>
                <c:pt idx="9">
                  <c:v>255000</c:v>
                </c:pt>
                <c:pt idx="10">
                  <c:v>267000</c:v>
                </c:pt>
                <c:pt idx="11">
                  <c:v>179000</c:v>
                </c:pt>
                <c:pt idx="12">
                  <c:v>252000</c:v>
                </c:pt>
                <c:pt idx="13">
                  <c:v>203000</c:v>
                </c:pt>
                <c:pt idx="14">
                  <c:v>369000</c:v>
                </c:pt>
                <c:pt idx="15">
                  <c:v>379000</c:v>
                </c:pt>
                <c:pt idx="16">
                  <c:v>129000</c:v>
                </c:pt>
                <c:pt idx="17">
                  <c:v>147000</c:v>
                </c:pt>
                <c:pt idx="18">
                  <c:v>137000</c:v>
                </c:pt>
                <c:pt idx="19">
                  <c:v>251000</c:v>
                </c:pt>
                <c:pt idx="20">
                  <c:v>370000</c:v>
                </c:pt>
                <c:pt idx="21">
                  <c:v>167000</c:v>
                </c:pt>
                <c:pt idx="22">
                  <c:v>65000</c:v>
                </c:pt>
                <c:pt idx="23">
                  <c:v>62000</c:v>
                </c:pt>
                <c:pt idx="24">
                  <c:v>27000</c:v>
                </c:pt>
              </c:numCache>
            </c:numRef>
          </c:xVal>
          <c:yVal>
            <c:numRef>
              <c:f>Aqueduct!$G$17:$G$41</c:f>
              <c:numCache>
                <c:formatCode>General</c:formatCode>
                <c:ptCount val="25"/>
                <c:pt idx="0">
                  <c:v>0.23703703703703699</c:v>
                </c:pt>
                <c:pt idx="1">
                  <c:v>0.194444444444444</c:v>
                </c:pt>
                <c:pt idx="2">
                  <c:v>0.61388888888888804</c:v>
                </c:pt>
                <c:pt idx="3">
                  <c:v>0.219444444444444</c:v>
                </c:pt>
                <c:pt idx="4">
                  <c:v>0.87222222222222201</c:v>
                </c:pt>
                <c:pt idx="5">
                  <c:v>0.6</c:v>
                </c:pt>
                <c:pt idx="6">
                  <c:v>0.73611111111111105</c:v>
                </c:pt>
                <c:pt idx="7">
                  <c:v>0.77500000000000002</c:v>
                </c:pt>
                <c:pt idx="8">
                  <c:v>0.655555555555555</c:v>
                </c:pt>
                <c:pt idx="9">
                  <c:v>0.43055555555555503</c:v>
                </c:pt>
                <c:pt idx="10">
                  <c:v>0.52500000000000002</c:v>
                </c:pt>
                <c:pt idx="11">
                  <c:v>0.47222222222222199</c:v>
                </c:pt>
                <c:pt idx="12">
                  <c:v>0.61388888888888804</c:v>
                </c:pt>
                <c:pt idx="13">
                  <c:v>0.452777777777777</c:v>
                </c:pt>
                <c:pt idx="14">
                  <c:v>0.87777777777777699</c:v>
                </c:pt>
                <c:pt idx="15">
                  <c:v>0.85277777777777697</c:v>
                </c:pt>
                <c:pt idx="16">
                  <c:v>0.358333333333333</c:v>
                </c:pt>
                <c:pt idx="17">
                  <c:v>0.35277777777777702</c:v>
                </c:pt>
                <c:pt idx="18">
                  <c:v>0.46111111111111103</c:v>
                </c:pt>
                <c:pt idx="19">
                  <c:v>0.66111111111111098</c:v>
                </c:pt>
                <c:pt idx="20">
                  <c:v>0.83333333333333304</c:v>
                </c:pt>
                <c:pt idx="21">
                  <c:v>0.42777777777777698</c:v>
                </c:pt>
                <c:pt idx="22">
                  <c:v>0.28333333333333299</c:v>
                </c:pt>
                <c:pt idx="23">
                  <c:v>0.11944444444444401</c:v>
                </c:pt>
                <c:pt idx="24">
                  <c:v>6.1111111111110998E-2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4A-496C-96D5-C86F77847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4361951"/>
        <c:axId val="1264357151"/>
      </c:scatterChart>
      <c:valAx>
        <c:axId val="1264361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4357151"/>
        <c:crosses val="autoZero"/>
        <c:crossBetween val="midCat"/>
      </c:valAx>
      <c:valAx>
        <c:axId val="126435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4361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SWDI - Imports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6.1603401874527682E-2"/>
                  <c:y val="-0.324351644619783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'imports-WY'!$F$3:$F$20</c:f>
              <c:numCache>
                <c:formatCode>General</c:formatCode>
                <c:ptCount val="18"/>
                <c:pt idx="0">
                  <c:v>0.469444444444444</c:v>
                </c:pt>
                <c:pt idx="1">
                  <c:v>0.54722222222222205</c:v>
                </c:pt>
                <c:pt idx="2">
                  <c:v>0.55833333333333302</c:v>
                </c:pt>
                <c:pt idx="3">
                  <c:v>0.70833333333333304</c:v>
                </c:pt>
                <c:pt idx="4">
                  <c:v>0.88888888888888895</c:v>
                </c:pt>
                <c:pt idx="5">
                  <c:v>0.53611111111111098</c:v>
                </c:pt>
                <c:pt idx="6">
                  <c:v>0.26944444444444399</c:v>
                </c:pt>
                <c:pt idx="7">
                  <c:v>0.20555555555555499</c:v>
                </c:pt>
                <c:pt idx="8">
                  <c:v>0.469444444444444</c:v>
                </c:pt>
                <c:pt idx="9">
                  <c:v>0.86944444444444402</c:v>
                </c:pt>
                <c:pt idx="10">
                  <c:v>0.59722222222222199</c:v>
                </c:pt>
                <c:pt idx="11">
                  <c:v>0.38333333333333303</c:v>
                </c:pt>
                <c:pt idx="12">
                  <c:v>0.105555555555555</c:v>
                </c:pt>
                <c:pt idx="13">
                  <c:v>6.3888888888888801E-2</c:v>
                </c:pt>
                <c:pt idx="14">
                  <c:v>0.22222222222222199</c:v>
                </c:pt>
                <c:pt idx="15">
                  <c:v>0.52777777777777701</c:v>
                </c:pt>
                <c:pt idx="16">
                  <c:v>0.72499999999999998</c:v>
                </c:pt>
                <c:pt idx="17">
                  <c:v>0.50833333333333297</c:v>
                </c:pt>
              </c:numCache>
            </c:numRef>
          </c:xVal>
          <c:yVal>
            <c:numRef>
              <c:f>'imports-WY'!$D$3:$D$20</c:f>
              <c:numCache>
                <c:formatCode>General</c:formatCode>
                <c:ptCount val="18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  <c:pt idx="6">
                  <c:v>1269.2</c:v>
                </c:pt>
                <c:pt idx="7">
                  <c:v>985.7</c:v>
                </c:pt>
                <c:pt idx="8">
                  <c:v>826.9</c:v>
                </c:pt>
                <c:pt idx="9">
                  <c:v>900.69999999999902</c:v>
                </c:pt>
                <c:pt idx="10">
                  <c:v>1170.3999999999901</c:v>
                </c:pt>
                <c:pt idx="11">
                  <c:v>1060.8</c:v>
                </c:pt>
                <c:pt idx="12">
                  <c:v>642.9</c:v>
                </c:pt>
                <c:pt idx="13">
                  <c:v>456.4</c:v>
                </c:pt>
                <c:pt idx="14">
                  <c:v>917.3</c:v>
                </c:pt>
                <c:pt idx="15">
                  <c:v>1042.9000000000001</c:v>
                </c:pt>
                <c:pt idx="16">
                  <c:v>921.5</c:v>
                </c:pt>
                <c:pt idx="17">
                  <c:v>1039.5999999999999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65-4A15-9F12-9A3E7BB57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SWP deliveries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 2008 to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7.6579249907811106E-2"/>
                  <c:y val="-0.395395436359318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'imports-WY'!$F$9:$F$20</c:f>
              <c:numCache>
                <c:formatCode>General</c:formatCode>
                <c:ptCount val="12"/>
                <c:pt idx="0">
                  <c:v>0.26944444444444399</c:v>
                </c:pt>
                <c:pt idx="1">
                  <c:v>0.20555555555555499</c:v>
                </c:pt>
                <c:pt idx="2">
                  <c:v>0.469444444444444</c:v>
                </c:pt>
                <c:pt idx="3">
                  <c:v>0.86944444444444402</c:v>
                </c:pt>
                <c:pt idx="4">
                  <c:v>0.59722222222222199</c:v>
                </c:pt>
                <c:pt idx="5">
                  <c:v>0.38333333333333303</c:v>
                </c:pt>
                <c:pt idx="6">
                  <c:v>0.105555555555555</c:v>
                </c:pt>
                <c:pt idx="7">
                  <c:v>6.3888888888888801E-2</c:v>
                </c:pt>
                <c:pt idx="8">
                  <c:v>0.22222222222222199</c:v>
                </c:pt>
                <c:pt idx="9">
                  <c:v>0.52777777777777701</c:v>
                </c:pt>
                <c:pt idx="10">
                  <c:v>0.72499999999999998</c:v>
                </c:pt>
                <c:pt idx="11">
                  <c:v>0.50833333333333297</c:v>
                </c:pt>
              </c:numCache>
            </c:numRef>
          </c:xVal>
          <c:yVal>
            <c:numRef>
              <c:f>'imports-WY'!$D$9:$D$20</c:f>
              <c:numCache>
                <c:formatCode>General</c:formatCode>
                <c:ptCount val="12"/>
                <c:pt idx="0">
                  <c:v>1269.2</c:v>
                </c:pt>
                <c:pt idx="1">
                  <c:v>985.7</c:v>
                </c:pt>
                <c:pt idx="2">
                  <c:v>826.9</c:v>
                </c:pt>
                <c:pt idx="3">
                  <c:v>900.69999999999902</c:v>
                </c:pt>
                <c:pt idx="4">
                  <c:v>1170.3999999999901</c:v>
                </c:pt>
                <c:pt idx="5">
                  <c:v>1060.8</c:v>
                </c:pt>
                <c:pt idx="6">
                  <c:v>642.9</c:v>
                </c:pt>
                <c:pt idx="7">
                  <c:v>456.4</c:v>
                </c:pt>
                <c:pt idx="8">
                  <c:v>917.3</c:v>
                </c:pt>
                <c:pt idx="9">
                  <c:v>1042.9000000000001</c:v>
                </c:pt>
                <c:pt idx="10">
                  <c:v>921.5</c:v>
                </c:pt>
                <c:pt idx="11">
                  <c:v>1039.5999999999999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0F-4C77-B03E-34A0E02B7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SWP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 2002</a:t>
            </a:r>
            <a:r>
              <a:rPr lang="en-US" baseline="0"/>
              <a:t> to 2007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7.6579249907811106E-2"/>
                  <c:y val="-0.395395436359318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'imports-WY'!$F$3:$F$8</c:f>
              <c:numCache>
                <c:formatCode>General</c:formatCode>
                <c:ptCount val="6"/>
                <c:pt idx="0">
                  <c:v>0.469444444444444</c:v>
                </c:pt>
                <c:pt idx="1">
                  <c:v>0.54722222222222205</c:v>
                </c:pt>
                <c:pt idx="2">
                  <c:v>0.55833333333333302</c:v>
                </c:pt>
                <c:pt idx="3">
                  <c:v>0.70833333333333304</c:v>
                </c:pt>
                <c:pt idx="4">
                  <c:v>0.88888888888888895</c:v>
                </c:pt>
                <c:pt idx="5">
                  <c:v>0.53611111111111098</c:v>
                </c:pt>
              </c:numCache>
            </c:numRef>
          </c:xVal>
          <c:yVal>
            <c:numRef>
              <c:f>'imports-WY'!$D$3:$D$8</c:f>
              <c:numCache>
                <c:formatCode>General</c:formatCode>
                <c:ptCount val="6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18-4B4D-B6BF-F9163A68CC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SWP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'allocations analysis'!$Q$2</c:f>
              <c:strCache>
                <c:ptCount val="1"/>
                <c:pt idx="0">
                  <c:v>ALLOCATION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'allocations analysis'!$P$3:$P$35</c:f>
              <c:numCache>
                <c:formatCode>General</c:formatCode>
                <c:ptCount val="33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  <c:pt idx="26">
                  <c:v>2018</c:v>
                </c:pt>
                <c:pt idx="27">
                  <c:v>2019</c:v>
                </c:pt>
                <c:pt idx="28">
                  <c:v>2020</c:v>
                </c:pt>
                <c:pt idx="29">
                  <c:v>2021</c:v>
                </c:pt>
                <c:pt idx="30">
                  <c:v>2022</c:v>
                </c:pt>
                <c:pt idx="31">
                  <c:v>2023</c:v>
                </c:pt>
                <c:pt idx="32">
                  <c:v>2024</c:v>
                </c:pt>
              </c:numCache>
            </c:numRef>
          </c:xVal>
          <c:yVal>
            <c:numRef>
              <c:f>'allocations analysis'!$Q$3:$Q$35</c:f>
              <c:numCache>
                <c:formatCode>General</c:formatCode>
                <c:ptCount val="33"/>
                <c:pt idx="0">
                  <c:v>45</c:v>
                </c:pt>
                <c:pt idx="1">
                  <c:v>100</c:v>
                </c:pt>
                <c:pt idx="2">
                  <c:v>50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90</c:v>
                </c:pt>
                <c:pt idx="9">
                  <c:v>39</c:v>
                </c:pt>
                <c:pt idx="10">
                  <c:v>70</c:v>
                </c:pt>
                <c:pt idx="11">
                  <c:v>90</c:v>
                </c:pt>
                <c:pt idx="12">
                  <c:v>65</c:v>
                </c:pt>
                <c:pt idx="13">
                  <c:v>90</c:v>
                </c:pt>
                <c:pt idx="14">
                  <c:v>100</c:v>
                </c:pt>
                <c:pt idx="15">
                  <c:v>60</c:v>
                </c:pt>
                <c:pt idx="16">
                  <c:v>35</c:v>
                </c:pt>
                <c:pt idx="17">
                  <c:v>40</c:v>
                </c:pt>
                <c:pt idx="18">
                  <c:v>50</c:v>
                </c:pt>
                <c:pt idx="19">
                  <c:v>80</c:v>
                </c:pt>
                <c:pt idx="20">
                  <c:v>65</c:v>
                </c:pt>
                <c:pt idx="21">
                  <c:v>35</c:v>
                </c:pt>
                <c:pt idx="22">
                  <c:v>5</c:v>
                </c:pt>
                <c:pt idx="23">
                  <c:v>20</c:v>
                </c:pt>
                <c:pt idx="24">
                  <c:v>60</c:v>
                </c:pt>
                <c:pt idx="25">
                  <c:v>85</c:v>
                </c:pt>
                <c:pt idx="26">
                  <c:v>35</c:v>
                </c:pt>
                <c:pt idx="27">
                  <c:v>75</c:v>
                </c:pt>
                <c:pt idx="28">
                  <c:v>20</c:v>
                </c:pt>
                <c:pt idx="29">
                  <c:v>5</c:v>
                </c:pt>
                <c:pt idx="30">
                  <c:v>5</c:v>
                </c:pt>
                <c:pt idx="31">
                  <c:v>100</c:v>
                </c:pt>
                <c:pt idx="32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7E-4DEC-858E-D9AEB3BEF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0463600"/>
        <c:axId val="1030465040"/>
      </c:scatterChart>
      <c:valAx>
        <c:axId val="103046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465040"/>
        <c:crosses val="autoZero"/>
        <c:crossBetween val="midCat"/>
      </c:valAx>
      <c:valAx>
        <c:axId val="103046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463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percentile</a:t>
            </a:r>
            <a:r>
              <a:rPr lang="en-US" baseline="0"/>
              <a:t> pumping intesntiy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0"/>
            <c:trendlineLbl>
              <c:layout>
                <c:manualLayout>
                  <c:x val="5.8029527559055223E-2"/>
                  <c:y val="-0.344185622630504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groundwater!$I$5:$I$22</c:f>
              <c:numCache>
                <c:formatCode>General</c:formatCode>
                <c:ptCount val="18"/>
                <c:pt idx="0">
                  <c:v>0.18188622754490999</c:v>
                </c:pt>
                <c:pt idx="1">
                  <c:v>0.53742514970059796</c:v>
                </c:pt>
                <c:pt idx="2">
                  <c:v>0.32372754491017902</c:v>
                </c:pt>
                <c:pt idx="3">
                  <c:v>0.94872754491017897</c:v>
                </c:pt>
                <c:pt idx="4">
                  <c:v>0.71856287425149701</c:v>
                </c:pt>
                <c:pt idx="5">
                  <c:v>8.6826347305389198E-2</c:v>
                </c:pt>
                <c:pt idx="6">
                  <c:v>0.43974550898203502</c:v>
                </c:pt>
                <c:pt idx="7">
                  <c:v>0.32447604790419099</c:v>
                </c:pt>
                <c:pt idx="8">
                  <c:v>0.80800898203592797</c:v>
                </c:pt>
                <c:pt idx="9">
                  <c:v>0.88510479041916101</c:v>
                </c:pt>
                <c:pt idx="10">
                  <c:v>0.415419161676646</c:v>
                </c:pt>
                <c:pt idx="11">
                  <c:v>0.100299401197604</c:v>
                </c:pt>
                <c:pt idx="12">
                  <c:v>7.4850299401197501E-2</c:v>
                </c:pt>
                <c:pt idx="13">
                  <c:v>0.26983532934131699</c:v>
                </c:pt>
                <c:pt idx="14">
                  <c:v>0.29715568862275399</c:v>
                </c:pt>
                <c:pt idx="15">
                  <c:v>0.394461077844311</c:v>
                </c:pt>
                <c:pt idx="16">
                  <c:v>0.88922155688622695</c:v>
                </c:pt>
                <c:pt idx="17">
                  <c:v>0.77357784431137699</c:v>
                </c:pt>
              </c:numCache>
            </c:numRef>
          </c:xVal>
          <c:yVal>
            <c:numRef>
              <c:f>groundwater!$C$5:$C$22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82-4532-9309-11104D365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5082560"/>
        <c:axId val="885083040"/>
      </c:scatterChart>
      <c:valAx>
        <c:axId val="88508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groundwater elevation change indicator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083040"/>
        <c:crosses val="autoZero"/>
        <c:crossBetween val="midCat"/>
      </c:valAx>
      <c:valAx>
        <c:axId val="88508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Groundwater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082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Surface</a:t>
            </a:r>
            <a:r>
              <a:rPr lang="en-US" baseline="0"/>
              <a:t> deliveries vs </a:t>
            </a:r>
            <a:r>
              <a:rPr lang="en-US"/>
              <a:t>Groundwater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groundwater!$H$49</c:f>
              <c:strCache>
                <c:ptCount val="1"/>
                <c:pt idx="0">
                  <c:v>Groundwater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6.7668197725284346E-2"/>
                  <c:y val="-0.34790536599591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groundwater!$G$50:$G$67</c:f>
              <c:numCache>
                <c:formatCode>General</c:formatCode>
                <c:ptCount val="18"/>
                <c:pt idx="0">
                  <c:v>3061.2</c:v>
                </c:pt>
                <c:pt idx="1">
                  <c:v>3229.49999999999</c:v>
                </c:pt>
                <c:pt idx="2">
                  <c:v>2795.3999999999901</c:v>
                </c:pt>
                <c:pt idx="3">
                  <c:v>2966.7999999999993</c:v>
                </c:pt>
                <c:pt idx="4">
                  <c:v>2607.1999999999989</c:v>
                </c:pt>
                <c:pt idx="5">
                  <c:v>2588.8999999999992</c:v>
                </c:pt>
                <c:pt idx="6">
                  <c:v>2486.8000000000002</c:v>
                </c:pt>
                <c:pt idx="7">
                  <c:v>2338.9</c:v>
                </c:pt>
                <c:pt idx="8">
                  <c:v>2284.9</c:v>
                </c:pt>
                <c:pt idx="9">
                  <c:v>2213.3999999999987</c:v>
                </c:pt>
                <c:pt idx="10">
                  <c:v>2326.2999999999902</c:v>
                </c:pt>
                <c:pt idx="11">
                  <c:v>2037.4999999999991</c:v>
                </c:pt>
                <c:pt idx="12">
                  <c:v>1998.5</c:v>
                </c:pt>
                <c:pt idx="13">
                  <c:v>2221.9</c:v>
                </c:pt>
                <c:pt idx="14">
                  <c:v>2586.6</c:v>
                </c:pt>
                <c:pt idx="15">
                  <c:v>2513.6999999999998</c:v>
                </c:pt>
                <c:pt idx="16">
                  <c:v>2147.9</c:v>
                </c:pt>
                <c:pt idx="17">
                  <c:v>2060</c:v>
                </c:pt>
              </c:numCache>
            </c:numRef>
          </c:xVal>
          <c:yVal>
            <c:numRef>
              <c:f>groundwater!$H$50:$H$67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572-439E-A864-13D054B5A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2700208"/>
        <c:axId val="1462699248"/>
      </c:scatterChart>
      <c:valAx>
        <c:axId val="146270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99248"/>
        <c:crosses val="autoZero"/>
        <c:crossBetween val="midCat"/>
      </c:valAx>
      <c:valAx>
        <c:axId val="146269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700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imports - SWDI SL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4.2725721784776904E-2"/>
                  <c:y val="-9.57213894033813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'imports-WY'!$G$3:$G$20</c:f>
              <c:numCache>
                <c:formatCode>General</c:formatCode>
                <c:ptCount val="18"/>
                <c:pt idx="0">
                  <c:v>0.47222222222222199</c:v>
                </c:pt>
                <c:pt idx="1">
                  <c:v>0.61388888888888804</c:v>
                </c:pt>
                <c:pt idx="2">
                  <c:v>0.452777777777777</c:v>
                </c:pt>
                <c:pt idx="3">
                  <c:v>0.87777777777777699</c:v>
                </c:pt>
                <c:pt idx="4">
                  <c:v>0.85277777777777697</c:v>
                </c:pt>
                <c:pt idx="5">
                  <c:v>0.358333333333333</c:v>
                </c:pt>
                <c:pt idx="6">
                  <c:v>0.35277777777777702</c:v>
                </c:pt>
                <c:pt idx="7">
                  <c:v>0.46111111111111103</c:v>
                </c:pt>
                <c:pt idx="8">
                  <c:v>0.66111111111111098</c:v>
                </c:pt>
                <c:pt idx="9">
                  <c:v>0.83333333333333304</c:v>
                </c:pt>
                <c:pt idx="10">
                  <c:v>0.42777777777777698</c:v>
                </c:pt>
                <c:pt idx="11">
                  <c:v>0.28333333333333299</c:v>
                </c:pt>
                <c:pt idx="12">
                  <c:v>0.11944444444444401</c:v>
                </c:pt>
                <c:pt idx="13">
                  <c:v>6.1111111111110998E-2</c:v>
                </c:pt>
                <c:pt idx="14">
                  <c:v>0.297222222222222</c:v>
                </c:pt>
                <c:pt idx="15">
                  <c:v>0.50277777777777699</c:v>
                </c:pt>
                <c:pt idx="16">
                  <c:v>0.75555555555555498</c:v>
                </c:pt>
                <c:pt idx="17">
                  <c:v>0.52777777777777701</c:v>
                </c:pt>
              </c:numCache>
            </c:numRef>
          </c:xVal>
          <c:yVal>
            <c:numRef>
              <c:f>'imports-WY'!$B$3:$B$20</c:f>
              <c:numCache>
                <c:formatCode>General</c:formatCode>
                <c:ptCount val="18"/>
                <c:pt idx="0">
                  <c:v>218.4</c:v>
                </c:pt>
                <c:pt idx="1">
                  <c:v>207.3</c:v>
                </c:pt>
                <c:pt idx="2">
                  <c:v>202.6</c:v>
                </c:pt>
                <c:pt idx="3">
                  <c:v>339.79999999999899</c:v>
                </c:pt>
                <c:pt idx="4">
                  <c:v>365.8</c:v>
                </c:pt>
                <c:pt idx="5">
                  <c:v>185.79999999999899</c:v>
                </c:pt>
                <c:pt idx="6">
                  <c:v>138.19999999999999</c:v>
                </c:pt>
                <c:pt idx="7">
                  <c:v>98.8</c:v>
                </c:pt>
                <c:pt idx="8">
                  <c:v>241.6</c:v>
                </c:pt>
                <c:pt idx="9">
                  <c:v>324.89999999999998</c:v>
                </c:pt>
                <c:pt idx="10">
                  <c:v>200.1</c:v>
                </c:pt>
                <c:pt idx="11">
                  <c:v>74.5</c:v>
                </c:pt>
                <c:pt idx="12">
                  <c:v>51.5</c:v>
                </c:pt>
                <c:pt idx="13">
                  <c:v>35.200000000000003</c:v>
                </c:pt>
                <c:pt idx="14">
                  <c:v>96.1</c:v>
                </c:pt>
                <c:pt idx="15">
                  <c:v>284.2</c:v>
                </c:pt>
                <c:pt idx="16">
                  <c:v>309.3</c:v>
                </c:pt>
                <c:pt idx="17">
                  <c:v>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BB-496C-86A4-5B89CBB574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5420832"/>
        <c:axId val="1445414592"/>
      </c:scatterChart>
      <c:valAx>
        <c:axId val="144542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414592"/>
        <c:crosses val="autoZero"/>
        <c:crossBetween val="midCat"/>
      </c:valAx>
      <c:valAx>
        <c:axId val="144541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42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Aqueduct!$C$1</c:f>
              <c:strCache>
                <c:ptCount val="1"/>
                <c:pt idx="0">
                  <c:v>Los Angeles Aqueduct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Aqueduct!$B$2:$B$41</c:f>
              <c:numCache>
                <c:formatCode>General</c:formatCode>
                <c:ptCount val="40"/>
                <c:pt idx="0">
                  <c:v>1976</c:v>
                </c:pt>
                <c:pt idx="1">
                  <c:v>1977</c:v>
                </c:pt>
                <c:pt idx="2">
                  <c:v>1978</c:v>
                </c:pt>
                <c:pt idx="3">
                  <c:v>1979</c:v>
                </c:pt>
                <c:pt idx="4">
                  <c:v>1980</c:v>
                </c:pt>
                <c:pt idx="5">
                  <c:v>1981</c:v>
                </c:pt>
                <c:pt idx="6">
                  <c:v>1982</c:v>
                </c:pt>
                <c:pt idx="7">
                  <c:v>1983</c:v>
                </c:pt>
                <c:pt idx="8">
                  <c:v>1984</c:v>
                </c:pt>
                <c:pt idx="9">
                  <c:v>1985</c:v>
                </c:pt>
                <c:pt idx="10">
                  <c:v>1986</c:v>
                </c:pt>
                <c:pt idx="11">
                  <c:v>1987</c:v>
                </c:pt>
                <c:pt idx="12">
                  <c:v>1988</c:v>
                </c:pt>
                <c:pt idx="13">
                  <c:v>1989</c:v>
                </c:pt>
                <c:pt idx="14">
                  <c:v>1990</c:v>
                </c:pt>
                <c:pt idx="15">
                  <c:v>1991</c:v>
                </c:pt>
                <c:pt idx="16">
                  <c:v>1992</c:v>
                </c:pt>
                <c:pt idx="17">
                  <c:v>1993</c:v>
                </c:pt>
                <c:pt idx="18">
                  <c:v>1994</c:v>
                </c:pt>
                <c:pt idx="19">
                  <c:v>1995</c:v>
                </c:pt>
                <c:pt idx="20">
                  <c:v>1996</c:v>
                </c:pt>
                <c:pt idx="21">
                  <c:v>1997</c:v>
                </c:pt>
                <c:pt idx="22">
                  <c:v>1998</c:v>
                </c:pt>
                <c:pt idx="23">
                  <c:v>1999</c:v>
                </c:pt>
                <c:pt idx="24">
                  <c:v>2000</c:v>
                </c:pt>
                <c:pt idx="25">
                  <c:v>2001</c:v>
                </c:pt>
                <c:pt idx="26">
                  <c:v>2002</c:v>
                </c:pt>
                <c:pt idx="27">
                  <c:v>2003</c:v>
                </c:pt>
                <c:pt idx="28">
                  <c:v>2004</c:v>
                </c:pt>
                <c:pt idx="29">
                  <c:v>2005</c:v>
                </c:pt>
                <c:pt idx="30">
                  <c:v>2006</c:v>
                </c:pt>
                <c:pt idx="31">
                  <c:v>2007</c:v>
                </c:pt>
                <c:pt idx="32">
                  <c:v>2008</c:v>
                </c:pt>
                <c:pt idx="33">
                  <c:v>2009</c:v>
                </c:pt>
                <c:pt idx="34">
                  <c:v>2010</c:v>
                </c:pt>
                <c:pt idx="35">
                  <c:v>2011</c:v>
                </c:pt>
                <c:pt idx="36">
                  <c:v>2012</c:v>
                </c:pt>
                <c:pt idx="37">
                  <c:v>2013</c:v>
                </c:pt>
                <c:pt idx="38">
                  <c:v>2014</c:v>
                </c:pt>
                <c:pt idx="39">
                  <c:v>2015</c:v>
                </c:pt>
              </c:numCache>
            </c:numRef>
          </c:xVal>
          <c:yVal>
            <c:numRef>
              <c:f>Aqueduct!$C$2:$C$41</c:f>
              <c:numCache>
                <c:formatCode>#,##0</c:formatCode>
                <c:ptCount val="40"/>
                <c:pt idx="0">
                  <c:v>430000</c:v>
                </c:pt>
                <c:pt idx="1">
                  <c:v>275000</c:v>
                </c:pt>
                <c:pt idx="2">
                  <c:v>472000</c:v>
                </c:pt>
                <c:pt idx="3">
                  <c:v>493000</c:v>
                </c:pt>
                <c:pt idx="4">
                  <c:v>515000</c:v>
                </c:pt>
                <c:pt idx="5">
                  <c:v>465000</c:v>
                </c:pt>
                <c:pt idx="6">
                  <c:v>483000</c:v>
                </c:pt>
                <c:pt idx="7">
                  <c:v>519000</c:v>
                </c:pt>
                <c:pt idx="8">
                  <c:v>516000</c:v>
                </c:pt>
                <c:pt idx="9">
                  <c:v>496000</c:v>
                </c:pt>
                <c:pt idx="10">
                  <c:v>521000</c:v>
                </c:pt>
                <c:pt idx="11">
                  <c:v>428000</c:v>
                </c:pt>
                <c:pt idx="12">
                  <c:v>369000</c:v>
                </c:pt>
                <c:pt idx="13">
                  <c:v>288000</c:v>
                </c:pt>
                <c:pt idx="14">
                  <c:v>106000</c:v>
                </c:pt>
                <c:pt idx="15">
                  <c:v>186000</c:v>
                </c:pt>
                <c:pt idx="16">
                  <c:v>177000</c:v>
                </c:pt>
                <c:pt idx="17">
                  <c:v>289000</c:v>
                </c:pt>
                <c:pt idx="18">
                  <c:v>133000</c:v>
                </c:pt>
                <c:pt idx="19">
                  <c:v>464000</c:v>
                </c:pt>
                <c:pt idx="20">
                  <c:v>425000</c:v>
                </c:pt>
                <c:pt idx="21">
                  <c:v>436000</c:v>
                </c:pt>
                <c:pt idx="22">
                  <c:v>467000</c:v>
                </c:pt>
                <c:pt idx="23">
                  <c:v>309000</c:v>
                </c:pt>
                <c:pt idx="24">
                  <c:v>255000</c:v>
                </c:pt>
                <c:pt idx="25">
                  <c:v>267000</c:v>
                </c:pt>
                <c:pt idx="26">
                  <c:v>179000</c:v>
                </c:pt>
                <c:pt idx="27">
                  <c:v>252000</c:v>
                </c:pt>
                <c:pt idx="28">
                  <c:v>203000</c:v>
                </c:pt>
                <c:pt idx="29">
                  <c:v>369000</c:v>
                </c:pt>
                <c:pt idx="30">
                  <c:v>379000</c:v>
                </c:pt>
                <c:pt idx="31">
                  <c:v>129000</c:v>
                </c:pt>
                <c:pt idx="32">
                  <c:v>147000</c:v>
                </c:pt>
                <c:pt idx="33">
                  <c:v>137000</c:v>
                </c:pt>
                <c:pt idx="34">
                  <c:v>251000</c:v>
                </c:pt>
                <c:pt idx="35">
                  <c:v>370000</c:v>
                </c:pt>
                <c:pt idx="36">
                  <c:v>167000</c:v>
                </c:pt>
                <c:pt idx="37">
                  <c:v>65000</c:v>
                </c:pt>
                <c:pt idx="38">
                  <c:v>62000</c:v>
                </c:pt>
                <c:pt idx="39">
                  <c:v>27000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D8-4382-AEA8-A16BBD475D7C}"/>
            </c:ext>
          </c:extLst>
        </c:ser>
        <c:ser>
          <c:idx val="1"/>
          <c:order val="1"/>
          <c:tx>
            <c:strRef>
              <c:f>Aqueduct!$D$1</c:f>
              <c:strCache>
                <c:ptCount val="1"/>
                <c:pt idx="0">
                  <c:v>Imports Portfolio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Aqueduct!$B$28:$B$41</c:f>
              <c:numCache>
                <c:formatCode>General</c:formatCode>
                <c:ptCount val="14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</c:numCache>
            </c:numRef>
          </c:xVal>
          <c:yVal>
            <c:numRef>
              <c:f>Aqueduct!$E$28:$E$41</c:f>
              <c:numCache>
                <c:formatCode>General</c:formatCode>
                <c:ptCount val="14"/>
                <c:pt idx="0">
                  <c:v>218400</c:v>
                </c:pt>
                <c:pt idx="1">
                  <c:v>207300</c:v>
                </c:pt>
                <c:pt idx="2">
                  <c:v>202600</c:v>
                </c:pt>
                <c:pt idx="3">
                  <c:v>339799.99999999901</c:v>
                </c:pt>
                <c:pt idx="4">
                  <c:v>365800</c:v>
                </c:pt>
                <c:pt idx="5">
                  <c:v>185799.99999999898</c:v>
                </c:pt>
                <c:pt idx="6">
                  <c:v>138200</c:v>
                </c:pt>
                <c:pt idx="7">
                  <c:v>98800</c:v>
                </c:pt>
                <c:pt idx="8">
                  <c:v>241600</c:v>
                </c:pt>
                <c:pt idx="9">
                  <c:v>324900</c:v>
                </c:pt>
                <c:pt idx="10">
                  <c:v>200100</c:v>
                </c:pt>
                <c:pt idx="11">
                  <c:v>74500</c:v>
                </c:pt>
                <c:pt idx="12">
                  <c:v>51500</c:v>
                </c:pt>
                <c:pt idx="13">
                  <c:v>35200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D8-4382-AEA8-A16BBD475D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0424079"/>
        <c:axId val="1280422159"/>
      </c:scatterChart>
      <c:valAx>
        <c:axId val="128042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422159"/>
        <c:crosses val="autoZero"/>
        <c:crossBetween val="midCat"/>
      </c:valAx>
      <c:valAx>
        <c:axId val="128042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424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74D0-5F1E-4AA7-ABEA-96C4428B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Konialian</dc:creator>
  <cp:keywords/>
  <dc:description/>
  <cp:lastModifiedBy>Armen Konialian</cp:lastModifiedBy>
  <cp:revision>3</cp:revision>
  <dcterms:created xsi:type="dcterms:W3CDTF">2024-07-25T19:58:00Z</dcterms:created>
  <dcterms:modified xsi:type="dcterms:W3CDTF">2024-07-27T01:28:00Z</dcterms:modified>
</cp:coreProperties>
</file>