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260D8" w14:textId="075C7932" w:rsidR="003A5E2C" w:rsidRDefault="003A5E2C" w:rsidP="003A5E2C">
      <w:pPr>
        <w:pStyle w:val="Heading1"/>
        <w:numPr>
          <w:ilvl w:val="0"/>
          <w:numId w:val="2"/>
        </w:numPr>
      </w:pPr>
      <w:r w:rsidRPr="003A5E2C">
        <w:t xml:space="preserve">System drought indicator for the </w:t>
      </w:r>
      <w:r>
        <w:t>South Coast</w:t>
      </w:r>
      <w:r w:rsidRPr="003A5E2C">
        <w:t xml:space="preserve"> hydrologic region</w:t>
      </w:r>
    </w:p>
    <w:p w14:paraId="01B5E1D0" w14:textId="52E665C7" w:rsidR="00FA72BE" w:rsidRDefault="003A5E2C" w:rsidP="003A5E2C">
      <w:pPr>
        <w:pStyle w:val="Heading2"/>
        <w:numPr>
          <w:ilvl w:val="1"/>
          <w:numId w:val="2"/>
        </w:numPr>
      </w:pPr>
      <w:r w:rsidRPr="003A5E2C">
        <w:t>Water portfolio of the San Joaquin River hydrologic region</w:t>
      </w:r>
    </w:p>
    <w:p w14:paraId="12044170" w14:textId="0D22CE34" w:rsidR="003A5E2C" w:rsidRDefault="003A5E2C" w:rsidP="003A5E2C">
      <w:r>
        <w:t>We use data from the California’s Department of Water Resources Water Data Portfolios (California Department of Water Resources, n.d.) to obtain the supply portfolio for the 2002-</w:t>
      </w:r>
      <w:r w:rsidR="00A6366B">
        <w:t>20</w:t>
      </w:r>
      <w:r>
        <w:t xml:space="preserve"> period.</w:t>
      </w:r>
    </w:p>
    <w:p w14:paraId="64C2659D" w14:textId="77777777" w:rsidR="00CB092F" w:rsidRDefault="003A5E2C" w:rsidP="00CB092F">
      <w:pPr>
        <w:keepNext/>
      </w:pPr>
      <w:r w:rsidRPr="006438BA">
        <w:rPr>
          <w:noProof/>
        </w:rPr>
        <w:drawing>
          <wp:inline distT="0" distB="0" distL="0" distR="0" wp14:anchorId="093E5B5E" wp14:editId="774C592A">
            <wp:extent cx="5943600" cy="2197100"/>
            <wp:effectExtent l="0" t="0" r="0" b="12700"/>
            <wp:docPr id="93103594" name="Chart 1">
              <a:extLst xmlns:a="http://schemas.openxmlformats.org/drawingml/2006/main">
                <a:ext uri="{FF2B5EF4-FFF2-40B4-BE49-F238E27FC236}">
                  <a16:creationId xmlns:a16="http://schemas.microsoft.com/office/drawing/2014/main" id="{01E47FB0-29D1-6A42-A4DC-9F341E2C0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69CDDD4" w14:textId="23A6C44A" w:rsidR="003A5E2C" w:rsidRDefault="00CB092F" w:rsidP="00CB092F">
      <w:pPr>
        <w:pStyle w:val="Caption"/>
      </w:pPr>
      <w:r>
        <w:t xml:space="preserve">Figure </w:t>
      </w:r>
      <w:fldSimple w:instr=" SEQ Figure \* ARABIC ">
        <w:r w:rsidR="00C26AB1">
          <w:rPr>
            <w:noProof/>
          </w:rPr>
          <w:t>1</w:t>
        </w:r>
      </w:fldSimple>
      <w:r>
        <w:t xml:space="preserve"> </w:t>
      </w:r>
      <w:r w:rsidRPr="001F6CB1">
        <w:t>Water supply portfolio by supply provider</w:t>
      </w:r>
      <w:r>
        <w:t xml:space="preserve"> for the South Coast hydrologic Region</w:t>
      </w:r>
    </w:p>
    <w:p w14:paraId="42AE1CA7" w14:textId="0AEFC443" w:rsidR="003A5E2C" w:rsidRPr="006438BA" w:rsidRDefault="00CB092F" w:rsidP="00CB092F">
      <w:r>
        <w:t>As shown in Figure 1, t</w:t>
      </w:r>
      <w:r w:rsidR="003A5E2C" w:rsidRPr="006438BA">
        <w:t>he main sources of the</w:t>
      </w:r>
      <w:r w:rsidR="003A5E2C">
        <w:t xml:space="preserve"> water</w:t>
      </w:r>
      <w:r w:rsidR="003A5E2C" w:rsidRPr="006438BA">
        <w:t xml:space="preserve"> supply in southern California are: </w:t>
      </w:r>
    </w:p>
    <w:p w14:paraId="2C8E1CD8" w14:textId="11CE4BD8" w:rsidR="003A5E2C" w:rsidRPr="006438BA" w:rsidRDefault="003A5E2C" w:rsidP="003A5E2C">
      <w:pPr>
        <w:pStyle w:val="ListParagraph"/>
        <w:numPr>
          <w:ilvl w:val="0"/>
          <w:numId w:val="3"/>
        </w:numPr>
      </w:pPr>
      <w:r w:rsidRPr="006438BA">
        <w:t>State Water Project (SWP)</w:t>
      </w:r>
      <w:r>
        <w:t xml:space="preserve">: </w:t>
      </w:r>
      <w:r w:rsidRPr="006438BA">
        <w:t>24% of the supply</w:t>
      </w:r>
    </w:p>
    <w:p w14:paraId="62F54CB4" w14:textId="2FAF3CE0" w:rsidR="003A5E2C" w:rsidRPr="006438BA" w:rsidRDefault="003A5E2C" w:rsidP="003A5E2C">
      <w:pPr>
        <w:pStyle w:val="ListParagraph"/>
        <w:numPr>
          <w:ilvl w:val="0"/>
          <w:numId w:val="3"/>
        </w:numPr>
      </w:pPr>
      <w:r w:rsidRPr="006438BA">
        <w:t>Colorado</w:t>
      </w:r>
      <w:r>
        <w:t>:</w:t>
      </w:r>
      <w:r w:rsidRPr="006438BA">
        <w:t xml:space="preserve"> 22% </w:t>
      </w:r>
    </w:p>
    <w:p w14:paraId="778C851B" w14:textId="2FFDEAE3" w:rsidR="003A5E2C" w:rsidRPr="006438BA" w:rsidRDefault="003A5E2C" w:rsidP="003A5E2C">
      <w:pPr>
        <w:pStyle w:val="ListParagraph"/>
        <w:numPr>
          <w:ilvl w:val="0"/>
          <w:numId w:val="3"/>
        </w:numPr>
      </w:pPr>
      <w:r w:rsidRPr="006438BA">
        <w:t>Groundwater</w:t>
      </w:r>
      <w:r>
        <w:t>:</w:t>
      </w:r>
      <w:r w:rsidRPr="006438BA">
        <w:t xml:space="preserve"> 33% </w:t>
      </w:r>
    </w:p>
    <w:p w14:paraId="64DB5657" w14:textId="2871762F" w:rsidR="003A5E2C" w:rsidRDefault="003A5E2C" w:rsidP="003A5E2C">
      <w:pPr>
        <w:pStyle w:val="ListParagraph"/>
        <w:numPr>
          <w:ilvl w:val="0"/>
          <w:numId w:val="3"/>
        </w:numPr>
      </w:pPr>
      <w:r w:rsidRPr="006438BA">
        <w:t>Los Angeles Aqueduct (Imports)</w:t>
      </w:r>
      <w:r>
        <w:t>:</w:t>
      </w:r>
      <w:r w:rsidRPr="006438BA">
        <w:t xml:space="preserve"> 4% </w:t>
      </w:r>
    </w:p>
    <w:p w14:paraId="1F1C40C2" w14:textId="58F417A3" w:rsidR="003A5E2C" w:rsidRDefault="003A5E2C" w:rsidP="003A5E2C">
      <w:pPr>
        <w:pStyle w:val="ListParagraph"/>
        <w:numPr>
          <w:ilvl w:val="0"/>
          <w:numId w:val="3"/>
        </w:numPr>
      </w:pPr>
      <w:r>
        <w:t xml:space="preserve">Local Supplies: 4% </w:t>
      </w:r>
    </w:p>
    <w:p w14:paraId="37654252" w14:textId="2AE6A191" w:rsidR="003A5E2C" w:rsidRDefault="003A5E2C" w:rsidP="00CB092F">
      <w:r>
        <w:t>These sources account for approximately</w:t>
      </w:r>
      <w:r w:rsidRPr="006438BA">
        <w:t xml:space="preserve"> 8</w:t>
      </w:r>
      <w:r>
        <w:t>7</w:t>
      </w:r>
      <w:r w:rsidRPr="006438BA">
        <w:t>%</w:t>
      </w:r>
      <w:r>
        <w:t xml:space="preserve"> of the water supply for the region</w:t>
      </w:r>
      <w:r w:rsidR="00CB092F">
        <w:t xml:space="preserve">. </w:t>
      </w:r>
      <w:r w:rsidR="00CB092F" w:rsidRPr="00CB092F">
        <w:t>From 2002 to 2020, a decline in total supply has been observed</w:t>
      </w:r>
      <w:r w:rsidR="00CB092F">
        <w:t xml:space="preserve"> which can be largely attributed to </w:t>
      </w:r>
      <w:r w:rsidR="00CB092F" w:rsidRPr="00CB092F">
        <w:t>conservation efforts</w:t>
      </w:r>
      <w:r w:rsidR="00CB092F">
        <w:t>, particularly during droughts 2007-2009 and 2014-2016 drought</w:t>
      </w:r>
      <w:r w:rsidR="00CB092F" w:rsidRPr="00CB092F">
        <w:t>.</w:t>
      </w:r>
    </w:p>
    <w:p w14:paraId="3D6C15B4" w14:textId="77777777" w:rsidR="004419DF" w:rsidRDefault="004419DF">
      <w:pPr>
        <w:rPr>
          <w:rFonts w:asciiTheme="majorHAnsi" w:eastAsiaTheme="majorEastAsia" w:hAnsiTheme="majorHAnsi" w:cstheme="majorBidi"/>
          <w:sz w:val="28"/>
          <w:szCs w:val="32"/>
        </w:rPr>
      </w:pPr>
      <w:r>
        <w:br w:type="page"/>
      </w:r>
    </w:p>
    <w:p w14:paraId="28F36526" w14:textId="4C88F6AC" w:rsidR="00CB092F" w:rsidRDefault="00CB092F" w:rsidP="00CB092F">
      <w:pPr>
        <w:pStyle w:val="Heading2"/>
        <w:numPr>
          <w:ilvl w:val="1"/>
          <w:numId w:val="2"/>
        </w:numPr>
      </w:pPr>
      <w:r w:rsidRPr="00CB092F">
        <w:lastRenderedPageBreak/>
        <w:t>Estimating supplies, demands and shortage</w:t>
      </w:r>
    </w:p>
    <w:p w14:paraId="5BD94CB1" w14:textId="3541A286" w:rsidR="00CB092F" w:rsidRDefault="004B2824" w:rsidP="004B2824">
      <w:pPr>
        <w:pStyle w:val="Heading3"/>
        <w:numPr>
          <w:ilvl w:val="2"/>
          <w:numId w:val="2"/>
        </w:numPr>
      </w:pPr>
      <w:r w:rsidRPr="004B2824">
        <w:t>Estimating supplies using drought indicators</w:t>
      </w:r>
    </w:p>
    <w:p w14:paraId="03BA4614" w14:textId="7485CFFC" w:rsidR="004419DF" w:rsidRDefault="004419DF" w:rsidP="004419DF">
      <w:pPr>
        <w:pStyle w:val="Heading4"/>
      </w:pPr>
      <w:r>
        <w:t>State Water Project</w:t>
      </w:r>
    </w:p>
    <w:p w14:paraId="2C31FCC4" w14:textId="5A29DCBA" w:rsidR="00810BC5" w:rsidRDefault="00FD7D38" w:rsidP="00EC69F7">
      <w:r>
        <w:t>SWDI of the delta exporting basins is expected to be a good indicator for predicting SWP deliveries to the South Coast.</w:t>
      </w:r>
      <w:r w:rsidR="00EC69F7">
        <w:t xml:space="preserve"> </w:t>
      </w:r>
      <w:r>
        <w:t>However, c</w:t>
      </w:r>
      <w:r w:rsidR="00170FF8">
        <w:t>hanges in regulations</w:t>
      </w:r>
      <w:r>
        <w:t>, introduced in 2007,</w:t>
      </w:r>
      <w:r w:rsidR="00170FF8">
        <w:t xml:space="preserve"> to meet ecosystem objectives have </w:t>
      </w:r>
      <w:r w:rsidR="00A6366B">
        <w:t>decreased</w:t>
      </w:r>
      <w:r w:rsidR="00170FF8">
        <w:t xml:space="preserve"> </w:t>
      </w:r>
      <w:r w:rsidR="00A2015D">
        <w:t>SWP deliveries</w:t>
      </w:r>
      <w:r w:rsidR="001C50D8">
        <w:t xml:space="preserve"> (</w:t>
      </w:r>
      <w:r w:rsidR="001C50D8" w:rsidRPr="001C50D8">
        <w:t>This meant that although the Delta was full, water intended for contractors was diverted to meet environmental needs</w:t>
      </w:r>
      <w:r w:rsidR="001C50D8">
        <w:t>)</w:t>
      </w:r>
      <w:r w:rsidR="00170FF8">
        <w:t xml:space="preserve">. </w:t>
      </w:r>
      <w:r>
        <w:t>Consequently,</w:t>
      </w:r>
      <w:r w:rsidR="00170FF8">
        <w:t xml:space="preserve"> </w:t>
      </w:r>
      <w:r>
        <w:t>D</w:t>
      </w:r>
      <w:r w:rsidR="00170FF8">
        <w:t xml:space="preserve">elta </w:t>
      </w:r>
      <w:r>
        <w:t xml:space="preserve">conditions before 2008 </w:t>
      </w:r>
      <w:r w:rsidRPr="00FD7D38">
        <w:t>no longer reflect</w:t>
      </w:r>
      <w:r w:rsidR="00A6366B">
        <w:t xml:space="preserve"> South Coast</w:t>
      </w:r>
      <w:r w:rsidRPr="00FD7D38">
        <w:t xml:space="preserve"> </w:t>
      </w:r>
      <w:r w:rsidR="00A6366B">
        <w:t>deliveries</w:t>
      </w:r>
      <w:r w:rsidRPr="00FD7D38">
        <w:t xml:space="preserve"> after </w:t>
      </w:r>
      <w:r w:rsidR="001C50D8">
        <w:t>2008</w:t>
      </w:r>
      <w:r w:rsidRPr="00FD7D38">
        <w:t>.</w:t>
      </w:r>
      <w:r w:rsidR="001C50D8">
        <w:t xml:space="preserve">  As shown in </w:t>
      </w:r>
      <w:r w:rsidR="00A01F43">
        <w:t>the figure</w:t>
      </w:r>
      <w:r w:rsidR="001C50D8">
        <w:t xml:space="preserve"> below, all </w:t>
      </w:r>
      <w:r w:rsidR="00A01F43">
        <w:t>SWP deliveries to the South Coast since 2007 have been lower compared to pre-2007 levels</w:t>
      </w:r>
      <w:r w:rsidR="00810BC5">
        <w:t xml:space="preserve"> – a trend not observed in SWDI Delta</w:t>
      </w:r>
      <w:r w:rsidR="00A01F43">
        <w:t xml:space="preserve">. </w:t>
      </w:r>
      <w:r w:rsidR="00810BC5" w:rsidRPr="00810BC5">
        <w:t>For example, in 2005, the SWDI Delta reached 0.9, and deliveries were around 1,500 MAF, whereas in 20</w:t>
      </w:r>
      <w:r w:rsidR="00810BC5">
        <w:t>11</w:t>
      </w:r>
      <w:r w:rsidR="00810BC5" w:rsidRPr="00810BC5">
        <w:t>, the SWDI Delta was nearly the same, but deliveries were only 900 MAF.</w:t>
      </w:r>
    </w:p>
    <w:p w14:paraId="04F2DEAA" w14:textId="526A8B38" w:rsidR="00EC69F7" w:rsidRDefault="00EC69F7" w:rsidP="000F064A">
      <w:r>
        <w:rPr>
          <w:noProof/>
        </w:rPr>
        <w:drawing>
          <wp:inline distT="0" distB="0" distL="0" distR="0" wp14:anchorId="2057AA46" wp14:editId="252A719E">
            <wp:extent cx="5943600" cy="2542540"/>
            <wp:effectExtent l="0" t="0" r="0" b="10160"/>
            <wp:docPr id="584772919" name="Chart 1">
              <a:extLst xmlns:a="http://schemas.openxmlformats.org/drawingml/2006/main">
                <a:ext uri="{FF2B5EF4-FFF2-40B4-BE49-F238E27FC236}">
                  <a16:creationId xmlns:a16="http://schemas.microsoft.com/office/drawing/2014/main" id="{831A9FEC-76C2-798F-B046-260BBF37B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B3FD7F6" w14:textId="1C3F3662" w:rsidR="00EC69F7" w:rsidRDefault="000F064A" w:rsidP="004B3418">
      <w:r>
        <w:t xml:space="preserve">As </w:t>
      </w:r>
      <w:r w:rsidR="00EC69F7">
        <w:t xml:space="preserve">shown in </w:t>
      </w:r>
      <w:r w:rsidR="00A743CC">
        <w:t>the figure</w:t>
      </w:r>
      <w:r w:rsidR="00EC69F7">
        <w:t xml:space="preserve"> below</w:t>
      </w:r>
      <w:r w:rsidR="00312B95">
        <w:t xml:space="preserve">, the relationship between SWP deliveries and SWDI for </w:t>
      </w:r>
      <w:r>
        <w:t xml:space="preserve">the </w:t>
      </w:r>
      <w:r w:rsidR="00312B95">
        <w:t>delt</w:t>
      </w:r>
      <w:r>
        <w:t>a</w:t>
      </w:r>
      <w:r w:rsidR="00312B95">
        <w:t xml:space="preserve"> exporting basins </w:t>
      </w:r>
      <w:r>
        <w:t>is</w:t>
      </w:r>
      <w:r w:rsidR="00A743CC">
        <w:t xml:space="preserve"> not</w:t>
      </w:r>
      <w:r w:rsidR="00312B95">
        <w:t xml:space="preserve"> </w:t>
      </w:r>
      <w:r w:rsidR="00A743CC" w:rsidRPr="00A743CC">
        <w:t>clearly defined</w:t>
      </w:r>
      <w:r w:rsidR="00A743CC">
        <w:t>,</w:t>
      </w:r>
      <w:r>
        <w:t xml:space="preserve"> but</w:t>
      </w:r>
      <w:r w:rsidR="00312B95">
        <w:t xml:space="preserve"> </w:t>
      </w:r>
      <w:r w:rsidR="00A743CC" w:rsidRPr="00A743CC">
        <w:t>a general trend is observable: higher SWP deliveries are typically associated with higher SWDI values for the Delta</w:t>
      </w:r>
      <w:r w:rsidR="00A743CC">
        <w:t xml:space="preserve"> Exporting Basin.</w:t>
      </w:r>
      <w:r>
        <w:t xml:space="preserve"> </w:t>
      </w:r>
    </w:p>
    <w:p w14:paraId="51201056" w14:textId="35AE4031" w:rsidR="00EC69F7" w:rsidRDefault="00EC69F7" w:rsidP="00C26AB1"/>
    <w:p w14:paraId="1ED8306C" w14:textId="081F6921" w:rsidR="00D93C5C" w:rsidRDefault="00D93C5C" w:rsidP="00C26AB1">
      <w:r>
        <w:rPr>
          <w:noProof/>
        </w:rPr>
        <w:lastRenderedPageBreak/>
        <w:drawing>
          <wp:inline distT="0" distB="0" distL="0" distR="0" wp14:anchorId="3810D75A" wp14:editId="792272A8">
            <wp:extent cx="4536412" cy="2669931"/>
            <wp:effectExtent l="0" t="0" r="17145" b="16510"/>
            <wp:docPr id="1098658716" name="Chart 1">
              <a:extLst xmlns:a="http://schemas.openxmlformats.org/drawingml/2006/main">
                <a:ext uri="{FF2B5EF4-FFF2-40B4-BE49-F238E27FC236}">
                  <a16:creationId xmlns:a16="http://schemas.microsoft.com/office/drawing/2014/main" id="{6D8F3E57-A866-F70A-D16A-BEFAE7D77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56B5D22" w14:textId="33ABFCB5" w:rsidR="0031065B" w:rsidRDefault="000F064A" w:rsidP="00C26AB1">
      <w:r>
        <w:t>A</w:t>
      </w:r>
      <w:r w:rsidRPr="00994575">
        <w:t xml:space="preserve"> linear regression model</w:t>
      </w:r>
      <w:r>
        <w:t xml:space="preserve"> with 2 variables</w:t>
      </w:r>
      <w:r w:rsidRPr="00994575">
        <w:t xml:space="preserve"> is used to predict </w:t>
      </w:r>
      <w:r>
        <w:t>state water project</w:t>
      </w:r>
      <w:r w:rsidRPr="00994575">
        <w:t xml:space="preserve"> deliveries</w:t>
      </w:r>
      <w:r>
        <w:t xml:space="preserve">: Categorical variable (also known as ‘dummy variables’) </w:t>
      </w:r>
      <w:r w:rsidRPr="00785E86">
        <w:t>—</w:t>
      </w:r>
      <w:r w:rsidR="00B65246">
        <w:t xml:space="preserve"> </w:t>
      </w:r>
      <w:r>
        <w:t xml:space="preserve">used to differentiate between pre and post 2007 periods </w:t>
      </w:r>
      <w:r w:rsidRPr="00785E86">
        <w:t>—</w:t>
      </w:r>
      <w:r>
        <w:t xml:space="preserve"> and l</w:t>
      </w:r>
      <w:r w:rsidRPr="00785E86">
        <w:t>ogarithm</w:t>
      </w:r>
      <w:r>
        <w:t xml:space="preserve"> </w:t>
      </w:r>
      <w:r w:rsidRPr="00785E86">
        <w:t>of</w:t>
      </w:r>
      <w:r>
        <w:t xml:space="preserve"> </w:t>
      </w:r>
      <w:r w:rsidRPr="00785E86">
        <w:t>SWDI</w:t>
      </w:r>
      <w:r>
        <w:t xml:space="preserve"> </w:t>
      </w:r>
      <w:r w:rsidR="00B65246">
        <w:t>delta exporting basins</w:t>
      </w:r>
      <w:r w:rsidRPr="00785E86">
        <w:t>—</w:t>
      </w:r>
      <w:r>
        <w:t xml:space="preserve"> </w:t>
      </w:r>
      <w:r w:rsidRPr="00785E86">
        <w:t>that help fitting the non-linear relationship</w:t>
      </w:r>
      <w:r w:rsidR="00C26AB1">
        <w:t>.</w:t>
      </w:r>
      <w:r w:rsidR="00C26AB1" w:rsidRPr="00C26AB1">
        <w:t xml:space="preserve"> </w:t>
      </w:r>
      <w:r w:rsidR="00C26AB1">
        <w:t>Additionally, t</w:t>
      </w:r>
      <w:r w:rsidR="00C26AB1" w:rsidRPr="000F064A">
        <w:t xml:space="preserve">he </w:t>
      </w:r>
      <w:r w:rsidR="00C26AB1">
        <w:t>deliveries variable</w:t>
      </w:r>
      <w:r w:rsidR="00C26AB1" w:rsidRPr="000F064A">
        <w:t xml:space="preserve"> has been log-transformed</w:t>
      </w:r>
      <w:r w:rsidR="00C26AB1">
        <w:t xml:space="preserve"> for similarly </w:t>
      </w:r>
      <w:r w:rsidR="00C26AB1" w:rsidRPr="00785E86">
        <w:t xml:space="preserve">help </w:t>
      </w:r>
      <w:r w:rsidR="00C26AB1">
        <w:t>better fit</w:t>
      </w:r>
      <w:r w:rsidR="00C26AB1" w:rsidRPr="00785E86">
        <w:t xml:space="preserve"> the non-linear relationship</w:t>
      </w:r>
      <w:r w:rsidR="00C26AB1">
        <w:t xml:space="preserve">. </w:t>
      </w:r>
      <w:r w:rsidR="00C26AB1" w:rsidRPr="00785E86">
        <w:t>Figure shows the result of the adjustment.</w:t>
      </w:r>
      <w:r w:rsidR="00C26AB1">
        <w:t xml:space="preserve"> For the 2002-20 period, we obtain a coefficient of determination for groundwater deliveries, R2, of 0.77. </w:t>
      </w:r>
      <w:r w:rsidR="00C26AB1" w:rsidRPr="00246F20">
        <w:t xml:space="preserve">Figure </w:t>
      </w:r>
      <w:r w:rsidR="00C26AB1">
        <w:t>below</w:t>
      </w:r>
      <w:r w:rsidR="00C26AB1" w:rsidRPr="00246F20">
        <w:t xml:space="preserve"> shows the result of the adjustment</w:t>
      </w:r>
      <w:r w:rsidR="00C26AB1">
        <w:t xml:space="preserve">. </w:t>
      </w:r>
    </w:p>
    <w:p w14:paraId="35DFE8EC" w14:textId="7B60AC00" w:rsidR="00C26AB1" w:rsidRDefault="00C26AB1" w:rsidP="00C26AB1">
      <w:pPr>
        <w:pStyle w:val="Caption"/>
        <w:keepNext/>
      </w:pPr>
      <w:r>
        <w:t xml:space="preserve">Figure </w:t>
      </w:r>
      <w:fldSimple w:instr=" SEQ Figure \* ARABIC ">
        <w:r>
          <w:rPr>
            <w:noProof/>
          </w:rPr>
          <w:t>2</w:t>
        </w:r>
      </w:fldSimple>
      <w:r>
        <w:t xml:space="preserve"> </w:t>
      </w:r>
      <w:r w:rsidRPr="00D409DB">
        <w:t>Comparison of actual deliveries from SWP deliveries and estimated SWP deliveries</w:t>
      </w:r>
    </w:p>
    <w:p w14:paraId="516C065B" w14:textId="048BD8BD" w:rsidR="008879C1" w:rsidRDefault="00C26AB1" w:rsidP="00C26AB1">
      <w:r>
        <w:rPr>
          <w:noProof/>
        </w:rPr>
        <w:drawing>
          <wp:inline distT="0" distB="0" distL="0" distR="0" wp14:anchorId="53555DB8" wp14:editId="0CF93C48">
            <wp:extent cx="4572000" cy="2743200"/>
            <wp:effectExtent l="0" t="0" r="0" b="0"/>
            <wp:docPr id="1494960218" name="Chart 1">
              <a:extLst xmlns:a="http://schemas.openxmlformats.org/drawingml/2006/main">
                <a:ext uri="{FF2B5EF4-FFF2-40B4-BE49-F238E27FC236}">
                  <a16:creationId xmlns:a16="http://schemas.microsoft.com/office/drawing/2014/main" id="{F06CB943-FBB4-1F8A-C5C1-86803312A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04B28B" w14:textId="77777777" w:rsidR="00B65246" w:rsidRPr="00F4372F" w:rsidRDefault="00B65246" w:rsidP="00C26AB1"/>
    <w:p w14:paraId="2B6E8FEC" w14:textId="177A7F22" w:rsidR="00A2015D" w:rsidRDefault="008879C1" w:rsidP="008879C1">
      <w:pPr>
        <w:pStyle w:val="Heading4"/>
      </w:pPr>
      <w:r>
        <w:lastRenderedPageBreak/>
        <w:t xml:space="preserve">Los Angeles Aqueduct </w:t>
      </w:r>
    </w:p>
    <w:p w14:paraId="096F7700" w14:textId="7DBF09D6" w:rsidR="008879C1" w:rsidRDefault="00537495" w:rsidP="00537495">
      <w:r>
        <w:t>Los Angeles Aqueduct imports water from Owens Valley, located in</w:t>
      </w:r>
      <w:r w:rsidRPr="00537495">
        <w:t xml:space="preserve"> </w:t>
      </w:r>
      <w:r>
        <w:t>South Lahontan Hydrologic Region, so we correlate Los Angeles Aqueduct with the SWDI of South Lahontan</w:t>
      </w:r>
      <w:r w:rsidR="00E97426">
        <w:t>. As shown</w:t>
      </w:r>
      <w:r w:rsidR="006F5E2A">
        <w:t xml:space="preserve"> in Figure below, the relationship is linear</w:t>
      </w:r>
      <w:r>
        <w:t xml:space="preserve"> – </w:t>
      </w:r>
      <w:r w:rsidR="005D2EEE">
        <w:t>t</w:t>
      </w:r>
      <w:r>
        <w:t xml:space="preserve">he fuller the reservoirs, </w:t>
      </w:r>
      <w:r w:rsidR="00A6366B">
        <w:t>the</w:t>
      </w:r>
      <w:r>
        <w:t xml:space="preserve"> higher the deliveries. </w:t>
      </w:r>
    </w:p>
    <w:p w14:paraId="2D4EB265" w14:textId="3765DAE6" w:rsidR="006F5E2A" w:rsidRDefault="006F5E2A" w:rsidP="006F5E2A">
      <w:pPr>
        <w:pStyle w:val="Caption"/>
        <w:keepNext/>
      </w:pPr>
      <w:r>
        <w:t xml:space="preserve">Figure </w:t>
      </w:r>
      <w:fldSimple w:instr=" SEQ Figure \* ARABIC ">
        <w:r w:rsidR="00C26AB1">
          <w:rPr>
            <w:noProof/>
          </w:rPr>
          <w:t>4</w:t>
        </w:r>
      </w:fldSimple>
      <w:r>
        <w:t xml:space="preserve"> </w:t>
      </w:r>
      <w:r w:rsidRPr="006E2358">
        <w:t xml:space="preserve">Relationship between </w:t>
      </w:r>
      <w:r>
        <w:t>LA Aqueduct</w:t>
      </w:r>
      <w:r w:rsidRPr="006E2358">
        <w:t xml:space="preserve"> deliverie</w:t>
      </w:r>
      <w:r>
        <w:t xml:space="preserve">s in the South Coast </w:t>
      </w:r>
      <w:r w:rsidRPr="006E2358">
        <w:t>and the Surface Water Drought Indicator</w:t>
      </w:r>
    </w:p>
    <w:p w14:paraId="6869DE15" w14:textId="3E06F6D0" w:rsidR="00E97426" w:rsidRDefault="00E97426" w:rsidP="008879C1">
      <w:r>
        <w:rPr>
          <w:noProof/>
        </w:rPr>
        <w:drawing>
          <wp:inline distT="0" distB="0" distL="0" distR="0" wp14:anchorId="2C37698C" wp14:editId="5A40DFB9">
            <wp:extent cx="4255514" cy="2789251"/>
            <wp:effectExtent l="0" t="0" r="12065" b="11430"/>
            <wp:docPr id="18314430" name="Chart 1">
              <a:extLst xmlns:a="http://schemas.openxmlformats.org/drawingml/2006/main">
                <a:ext uri="{FF2B5EF4-FFF2-40B4-BE49-F238E27FC236}">
                  <a16:creationId xmlns:a16="http://schemas.microsoft.com/office/drawing/2014/main" id="{1E7648F4-02C2-419E-A9F5-CAEE2D756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34EE2D" w14:textId="3737A325" w:rsidR="00D657CD" w:rsidRDefault="00D657CD" w:rsidP="00D657CD">
      <w:r>
        <w:t xml:space="preserve">A </w:t>
      </w:r>
      <w:r w:rsidR="00B65246">
        <w:t xml:space="preserve">linear </w:t>
      </w:r>
      <w:r>
        <w:t xml:space="preserve">regression model using only SWDI of South Lahontan was utilized.  For the 2002-19 period, we obtain a coefficient of determination for the </w:t>
      </w:r>
      <w:r w:rsidRPr="006F5E2A">
        <w:t>local surface supplies</w:t>
      </w:r>
      <w:r>
        <w:t xml:space="preserve">, R2, of 0.86. </w:t>
      </w:r>
      <w:r w:rsidRPr="00D657CD">
        <w:t xml:space="preserve">Figure </w:t>
      </w:r>
      <w:r w:rsidR="006A1A9C">
        <w:t>5</w:t>
      </w:r>
      <w:r w:rsidRPr="00D657CD">
        <w:t xml:space="preserve"> shows the result of the adjustment.</w:t>
      </w:r>
      <w:r>
        <w:t xml:space="preserve"> </w:t>
      </w:r>
    </w:p>
    <w:p w14:paraId="2E3EFF4A" w14:textId="0B305193" w:rsidR="00D657CD" w:rsidRDefault="00D657CD" w:rsidP="00D657CD">
      <w:pPr>
        <w:pStyle w:val="Caption"/>
        <w:keepNext/>
      </w:pPr>
      <w:r>
        <w:t xml:space="preserve">Figure </w:t>
      </w:r>
      <w:fldSimple w:instr=" SEQ Figure \* ARABIC ">
        <w:r w:rsidR="00C26AB1">
          <w:rPr>
            <w:noProof/>
          </w:rPr>
          <w:t>5</w:t>
        </w:r>
      </w:fldSimple>
      <w:r>
        <w:t xml:space="preserve"> </w:t>
      </w:r>
      <w:r w:rsidRPr="003A60B9">
        <w:t>Comparison of actual deliveries from LA Aqueduct imports and estimated deliveries from LA Aqueduct imports</w:t>
      </w:r>
    </w:p>
    <w:p w14:paraId="75BF69C2" w14:textId="0BB2DB99" w:rsidR="00D657CD" w:rsidRDefault="00D657CD" w:rsidP="006A1A9C">
      <w:r>
        <w:rPr>
          <w:noProof/>
        </w:rPr>
        <w:drawing>
          <wp:inline distT="0" distB="0" distL="0" distR="0" wp14:anchorId="38AA1B2B" wp14:editId="70E124CC">
            <wp:extent cx="4572000" cy="2743200"/>
            <wp:effectExtent l="0" t="0" r="0" b="0"/>
            <wp:docPr id="59161529" name="Chart 1">
              <a:extLst xmlns:a="http://schemas.openxmlformats.org/drawingml/2006/main">
                <a:ext uri="{FF2B5EF4-FFF2-40B4-BE49-F238E27FC236}">
                  <a16:creationId xmlns:a16="http://schemas.microsoft.com/office/drawing/2014/main" id="{F0C209F0-63BE-65C9-4EAE-49BF741A67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D01E44" w14:textId="77777777" w:rsidR="001519C6" w:rsidRDefault="001519C6" w:rsidP="001519C6">
      <w:pPr>
        <w:pStyle w:val="Heading4"/>
      </w:pPr>
      <w:r>
        <w:lastRenderedPageBreak/>
        <w:t>Groundwater</w:t>
      </w:r>
    </w:p>
    <w:p w14:paraId="0AA9F654" w14:textId="70C00A23" w:rsidR="000860EF" w:rsidRDefault="001519C6" w:rsidP="001519C6">
      <w:r w:rsidRPr="00994575">
        <w:t xml:space="preserve">Groundwater is </w:t>
      </w:r>
      <w:r w:rsidR="008668E4">
        <w:t xml:space="preserve">a </w:t>
      </w:r>
      <w:r w:rsidRPr="00994575">
        <w:t>reliable and cost-effective water source, often supplemented during dry years when State Water Project allocations are low. However, due to the availability of Colorado River, groundwater is managed sustainably, making it harder to observe a straightforward linear relationship with other sources</w:t>
      </w:r>
      <w:r w:rsidR="00E67437">
        <w:t xml:space="preserve"> as shown in figure below</w:t>
      </w:r>
      <w:r w:rsidRPr="00994575">
        <w:t xml:space="preserve">. </w:t>
      </w:r>
    </w:p>
    <w:p w14:paraId="65857EB6" w14:textId="39A50CF8" w:rsidR="000C76BA" w:rsidRDefault="000860EF" w:rsidP="000C76BA">
      <w:r>
        <w:rPr>
          <w:noProof/>
        </w:rPr>
        <w:drawing>
          <wp:inline distT="0" distB="0" distL="0" distR="0" wp14:anchorId="6389D0BD" wp14:editId="3919C98A">
            <wp:extent cx="4572000" cy="2743200"/>
            <wp:effectExtent l="0" t="0" r="0" b="0"/>
            <wp:docPr id="1705990736" name="Chart 1">
              <a:extLst xmlns:a="http://schemas.openxmlformats.org/drawingml/2006/main">
                <a:ext uri="{FF2B5EF4-FFF2-40B4-BE49-F238E27FC236}">
                  <a16:creationId xmlns:a16="http://schemas.microsoft.com/office/drawing/2014/main" id="{77DD30D0-B472-4DD6-A16E-84CD98C7E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FB6CB3E" w14:textId="7BA21B7C" w:rsidR="000860EF" w:rsidRDefault="001519C6" w:rsidP="000860EF">
      <w:r w:rsidRPr="00994575">
        <w:t>Additionally, the groundwater pumping indicator—reflect</w:t>
      </w:r>
      <w:r w:rsidR="000C76BA">
        <w:t>ing</w:t>
      </w:r>
      <w:r w:rsidRPr="00994575">
        <w:t xml:space="preserve"> the annual change in groundwater levels and provides insight into the intensity of annual pumping—</w:t>
      </w:r>
      <w:r w:rsidR="000860EF">
        <w:t xml:space="preserve"> provides a better insight on groundwater deliveries</w:t>
      </w:r>
      <w:r w:rsidRPr="00994575">
        <w:t>.</w:t>
      </w:r>
      <w:r w:rsidR="000860EF">
        <w:t xml:space="preserve"> </w:t>
      </w:r>
    </w:p>
    <w:p w14:paraId="10BD7676" w14:textId="4F76485C" w:rsidR="000860EF" w:rsidRDefault="000860EF" w:rsidP="000860EF">
      <w:r>
        <w:rPr>
          <w:noProof/>
        </w:rPr>
        <w:drawing>
          <wp:inline distT="0" distB="0" distL="0" distR="0" wp14:anchorId="6D68F8C7" wp14:editId="6F1CCE9F">
            <wp:extent cx="4572000" cy="2743200"/>
            <wp:effectExtent l="0" t="0" r="0" b="0"/>
            <wp:docPr id="1657754270" name="Chart 1">
              <a:extLst xmlns:a="http://schemas.openxmlformats.org/drawingml/2006/main">
                <a:ext uri="{FF2B5EF4-FFF2-40B4-BE49-F238E27FC236}">
                  <a16:creationId xmlns:a16="http://schemas.microsoft.com/office/drawing/2014/main" id="{7CD5340D-AECD-42CA-BB20-D1D98394D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57D0A" w14:textId="2235E7CF" w:rsidR="006A1A9C" w:rsidRDefault="000860EF" w:rsidP="00B65246">
      <w:r>
        <w:t>A</w:t>
      </w:r>
      <w:r w:rsidRPr="00994575">
        <w:t xml:space="preserve"> linear regression model</w:t>
      </w:r>
      <w:r>
        <w:t xml:space="preserve"> with </w:t>
      </w:r>
      <w:r w:rsidR="00B17A41">
        <w:t>logarithm of groundwater pumping intensity indicator</w:t>
      </w:r>
      <w:r w:rsidRPr="00994575">
        <w:t xml:space="preserve"> is used to predict groundwater deliveries.</w:t>
      </w:r>
      <w:r w:rsidR="00246F20">
        <w:t xml:space="preserve"> With these variables, and for the 2002-20 period, </w:t>
      </w:r>
      <w:r w:rsidR="00246F20">
        <w:lastRenderedPageBreak/>
        <w:t>we obtain a coefficient of determination for groundwater deliveries, R2, of 0.</w:t>
      </w:r>
      <w:r w:rsidR="00B17A41">
        <w:t>58</w:t>
      </w:r>
      <w:r w:rsidR="00246F20">
        <w:t xml:space="preserve">. </w:t>
      </w:r>
      <w:r w:rsidR="00246F20" w:rsidRPr="00246F20">
        <w:t xml:space="preserve">Figure </w:t>
      </w:r>
      <w:r w:rsidR="00246F20">
        <w:t>below</w:t>
      </w:r>
      <w:r w:rsidR="00246F20" w:rsidRPr="00246F20">
        <w:t xml:space="preserve"> shows the result of the adjustment</w:t>
      </w:r>
      <w:r w:rsidR="00246F20">
        <w:t>.</w:t>
      </w:r>
    </w:p>
    <w:p w14:paraId="7D0E9172" w14:textId="32EECF81" w:rsidR="00B65246" w:rsidRPr="009A4DB2" w:rsidRDefault="00B65246" w:rsidP="00B17A41">
      <w:r>
        <w:rPr>
          <w:noProof/>
        </w:rPr>
        <w:drawing>
          <wp:inline distT="0" distB="0" distL="0" distR="0" wp14:anchorId="0E9B62E8" wp14:editId="7A2E05FD">
            <wp:extent cx="4572000" cy="2743200"/>
            <wp:effectExtent l="0" t="0" r="0" b="0"/>
            <wp:docPr id="1268521611" name="Chart 1">
              <a:extLst xmlns:a="http://schemas.openxmlformats.org/drawingml/2006/main">
                <a:ext uri="{FF2B5EF4-FFF2-40B4-BE49-F238E27FC236}">
                  <a16:creationId xmlns:a16="http://schemas.microsoft.com/office/drawing/2014/main" id="{50E122E3-BE9F-7B90-ED93-F57C4C676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B372E27" w14:textId="679F44F6" w:rsidR="006F5E2A" w:rsidRDefault="006F5E2A" w:rsidP="00DD55D6">
      <w:pPr>
        <w:pStyle w:val="Heading4"/>
      </w:pPr>
      <w:r>
        <w:t>Colorado River</w:t>
      </w:r>
    </w:p>
    <w:p w14:paraId="38670EF3" w14:textId="6ED4FEDA" w:rsidR="00B754AA" w:rsidRDefault="00DD55D6" w:rsidP="00B754AA">
      <w:r w:rsidRPr="00DD55D6">
        <w:t>Unlike the State Water Project, Colorado River deliveries are less impacted during drought years</w:t>
      </w:r>
      <w:r w:rsidR="00E36FF6">
        <w:t xml:space="preserve"> – serving as</w:t>
      </w:r>
      <w:r w:rsidR="00ED7CED" w:rsidRPr="00ED7CED">
        <w:t xml:space="preserve"> a backup to the State Water Project.</w:t>
      </w:r>
      <w:r>
        <w:t xml:space="preserve"> As shown in the figure below, the non-linear relationship between SWDI Delta exporting basins and Colorado River deliveries</w:t>
      </w:r>
      <w:r w:rsidR="001519C6">
        <w:t xml:space="preserve"> is clea</w:t>
      </w:r>
      <w:r w:rsidR="005B58EC">
        <w:t>r</w:t>
      </w:r>
      <w:r w:rsidR="00B754AA">
        <w:t xml:space="preserve"> - </w:t>
      </w:r>
      <w:r w:rsidR="00B754AA" w:rsidRPr="00B754AA">
        <w:t>When Delta water availability decreases, deliveries from the Colorado River tend to increase.</w:t>
      </w:r>
      <w:r w:rsidR="00BC0958">
        <w:t xml:space="preserve"> The plateau after median (percentile = 0.5) could be due to </w:t>
      </w:r>
      <w:r w:rsidR="00BC0958" w:rsidRPr="00BC0958">
        <w:t>infrastructure constraints</w:t>
      </w:r>
      <w:r w:rsidR="00BC0958">
        <w:t xml:space="preserve"> for importing t</w:t>
      </w:r>
      <w:r w:rsidR="00BC0958" w:rsidRPr="00BC0958">
        <w:t xml:space="preserve">o how much water can be </w:t>
      </w:r>
      <w:r w:rsidR="00BC0958">
        <w:t>imported</w:t>
      </w:r>
      <w:r w:rsidR="00BC0958" w:rsidRPr="00BC0958">
        <w:t xml:space="preserve"> from the Colorado River</w:t>
      </w:r>
    </w:p>
    <w:p w14:paraId="0DC1730C" w14:textId="2EB5B3F6" w:rsidR="00E6160A" w:rsidRDefault="00CB67CB" w:rsidP="00B17A41">
      <w:r>
        <w:rPr>
          <w:noProof/>
        </w:rPr>
        <w:drawing>
          <wp:inline distT="0" distB="0" distL="0" distR="0" wp14:anchorId="42F9192C" wp14:editId="69478AF1">
            <wp:extent cx="4572000" cy="2743200"/>
            <wp:effectExtent l="0" t="0" r="0" b="0"/>
            <wp:docPr id="661256651" name="Chart 1">
              <a:extLst xmlns:a="http://schemas.openxmlformats.org/drawingml/2006/main">
                <a:ext uri="{FF2B5EF4-FFF2-40B4-BE49-F238E27FC236}">
                  <a16:creationId xmlns:a16="http://schemas.microsoft.com/office/drawing/2014/main" id="{0FFE9FB7-32E0-4D8F-9E8D-972F31512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EE427BC" w14:textId="090AAB06" w:rsidR="00C672FB" w:rsidRDefault="009A4DB2" w:rsidP="004B3418">
      <w:r>
        <w:lastRenderedPageBreak/>
        <w:t>Thus, a linear</w:t>
      </w:r>
      <w:r w:rsidR="00C672FB">
        <w:t xml:space="preserve"> regression model with </w:t>
      </w:r>
      <w:r w:rsidR="00B17A41">
        <w:t xml:space="preserve">logarithm of the SWDI of the exporting basins </w:t>
      </w:r>
      <w:r w:rsidR="00DF4441">
        <w:t>was utilized</w:t>
      </w:r>
      <w:r w:rsidR="00B17A41">
        <w:t xml:space="preserve"> to predict Colorado deliveries</w:t>
      </w:r>
      <w:r w:rsidR="00C672FB">
        <w:t>. For the 2002-</w:t>
      </w:r>
      <w:r w:rsidR="0081301F">
        <w:t>20</w:t>
      </w:r>
      <w:r w:rsidR="00C672FB">
        <w:t xml:space="preserve"> period, we obtain a coefficient of determination for the deliveries from Delta imports, R2, of 0.</w:t>
      </w:r>
      <w:r w:rsidR="00B17A41">
        <w:t>74</w:t>
      </w:r>
      <w:r w:rsidR="00C672FB">
        <w:t>. Figure below shows the result of the adjustment</w:t>
      </w:r>
      <w:r w:rsidR="00246F20">
        <w:t>.</w:t>
      </w:r>
    </w:p>
    <w:p w14:paraId="7E49876D" w14:textId="454C65DE" w:rsidR="004B3418" w:rsidRDefault="00B17A41" w:rsidP="00C672FB">
      <w:r>
        <w:rPr>
          <w:noProof/>
        </w:rPr>
        <w:drawing>
          <wp:inline distT="0" distB="0" distL="0" distR="0" wp14:anchorId="1EECC0A7" wp14:editId="7BA799AF">
            <wp:extent cx="4572000" cy="2743200"/>
            <wp:effectExtent l="0" t="0" r="0" b="0"/>
            <wp:docPr id="1424129862" name="Chart 1">
              <a:extLst xmlns:a="http://schemas.openxmlformats.org/drawingml/2006/main">
                <a:ext uri="{FF2B5EF4-FFF2-40B4-BE49-F238E27FC236}">
                  <a16:creationId xmlns:a16="http://schemas.microsoft.com/office/drawing/2014/main" id="{50E122E3-BE9F-7B90-ED93-F57C4C676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8BFBCE" w14:textId="61BA5C38" w:rsidR="00CB67CB" w:rsidRDefault="00CB67CB">
      <w:pPr>
        <w:rPr>
          <w:rFonts w:asciiTheme="majorHAnsi" w:eastAsiaTheme="majorEastAsia" w:hAnsiTheme="majorHAnsi" w:cstheme="majorBidi"/>
          <w:szCs w:val="28"/>
        </w:rPr>
      </w:pPr>
    </w:p>
    <w:p w14:paraId="286409F4" w14:textId="77777777" w:rsidR="009713BE" w:rsidRDefault="009713BE">
      <w:pPr>
        <w:rPr>
          <w:rFonts w:asciiTheme="majorHAnsi" w:eastAsiaTheme="majorEastAsia" w:hAnsiTheme="majorHAnsi" w:cstheme="majorBidi"/>
          <w:szCs w:val="28"/>
        </w:rPr>
      </w:pPr>
      <w:r>
        <w:br w:type="page"/>
      </w:r>
    </w:p>
    <w:p w14:paraId="179B40FB" w14:textId="5F5704E7" w:rsidR="000A3430" w:rsidRDefault="000A3430" w:rsidP="000A3430">
      <w:pPr>
        <w:pStyle w:val="Heading3"/>
      </w:pPr>
      <w:r w:rsidRPr="000A3430">
        <w:lastRenderedPageBreak/>
        <w:t>Combined supplies from different sources</w:t>
      </w:r>
    </w:p>
    <w:p w14:paraId="0A18EB29" w14:textId="72E56D16" w:rsidR="00523992" w:rsidRDefault="001B0622" w:rsidP="001B0622">
      <w:r>
        <w:rPr>
          <w:noProof/>
        </w:rPr>
        <w:drawing>
          <wp:inline distT="0" distB="0" distL="0" distR="0" wp14:anchorId="7E0B1455" wp14:editId="1FFC22C8">
            <wp:extent cx="5943600" cy="2742565"/>
            <wp:effectExtent l="0" t="0" r="0" b="635"/>
            <wp:docPr id="1974695928" name="Chart 1">
              <a:extLst xmlns:a="http://schemas.openxmlformats.org/drawingml/2006/main">
                <a:ext uri="{FF2B5EF4-FFF2-40B4-BE49-F238E27FC236}">
                  <a16:creationId xmlns:a16="http://schemas.microsoft.com/office/drawing/2014/main" id="{8F183F36-CC94-27CD-53C9-DF30FD3499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0EDA8" w14:textId="42451DE4" w:rsidR="001B0622" w:rsidRDefault="001B0622" w:rsidP="001B0622">
      <w:r>
        <w:rPr>
          <w:noProof/>
        </w:rPr>
        <w:drawing>
          <wp:inline distT="0" distB="0" distL="0" distR="0" wp14:anchorId="70987B62" wp14:editId="0BB5719D">
            <wp:extent cx="5943600" cy="3389630"/>
            <wp:effectExtent l="0" t="0" r="0" b="1270"/>
            <wp:docPr id="559748373" name="Chart 1">
              <a:extLst xmlns:a="http://schemas.openxmlformats.org/drawingml/2006/main">
                <a:ext uri="{FF2B5EF4-FFF2-40B4-BE49-F238E27FC236}">
                  <a16:creationId xmlns:a16="http://schemas.microsoft.com/office/drawing/2014/main" id="{33CA8446-466E-E5B9-9477-041EF2B95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38107B" w14:textId="77777777" w:rsidR="00523992" w:rsidRDefault="00523992" w:rsidP="000A3430"/>
    <w:p w14:paraId="1DAE7F22" w14:textId="10B1D67D" w:rsidR="004E67DD" w:rsidRDefault="00523992" w:rsidP="00523992">
      <w:r w:rsidRPr="00523992">
        <w:t xml:space="preserve"> </w:t>
      </w:r>
    </w:p>
    <w:p w14:paraId="117E2ACB" w14:textId="77777777" w:rsidR="004E67DD" w:rsidRDefault="004E67DD">
      <w:r>
        <w:br w:type="page"/>
      </w:r>
    </w:p>
    <w:tbl>
      <w:tblPr>
        <w:tblW w:w="9880" w:type="dxa"/>
        <w:tblLook w:val="04A0" w:firstRow="1" w:lastRow="0" w:firstColumn="1" w:lastColumn="0" w:noHBand="0" w:noVBand="1"/>
      </w:tblPr>
      <w:tblGrid>
        <w:gridCol w:w="1526"/>
        <w:gridCol w:w="1116"/>
        <w:gridCol w:w="2860"/>
        <w:gridCol w:w="1760"/>
        <w:gridCol w:w="1085"/>
        <w:gridCol w:w="1720"/>
      </w:tblGrid>
      <w:tr w:rsidR="004E67DD" w:rsidRPr="004E67DD" w14:paraId="3F591625" w14:textId="77777777" w:rsidTr="004E67DD">
        <w:trPr>
          <w:trHeight w:val="945"/>
        </w:trPr>
        <w:tc>
          <w:tcPr>
            <w:tcW w:w="1360" w:type="dxa"/>
            <w:tcBorders>
              <w:top w:val="single" w:sz="4" w:space="0" w:color="auto"/>
              <w:left w:val="single" w:sz="4" w:space="0" w:color="auto"/>
              <w:bottom w:val="nil"/>
              <w:right w:val="nil"/>
            </w:tcBorders>
            <w:shd w:val="clear" w:color="auto" w:fill="auto"/>
            <w:noWrap/>
            <w:vAlign w:val="center"/>
            <w:hideMark/>
          </w:tcPr>
          <w:p w14:paraId="7852BFA8"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lastRenderedPageBreak/>
              <w:t>Supply</w:t>
            </w:r>
          </w:p>
        </w:tc>
        <w:tc>
          <w:tcPr>
            <w:tcW w:w="1100" w:type="dxa"/>
            <w:tcBorders>
              <w:top w:val="single" w:sz="4" w:space="0" w:color="auto"/>
              <w:left w:val="single" w:sz="4" w:space="0" w:color="auto"/>
              <w:bottom w:val="nil"/>
              <w:right w:val="nil"/>
            </w:tcBorders>
            <w:shd w:val="clear" w:color="auto" w:fill="auto"/>
            <w:vAlign w:val="center"/>
            <w:hideMark/>
          </w:tcPr>
          <w:p w14:paraId="198F77BC"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Number of Variables</w:t>
            </w:r>
          </w:p>
        </w:tc>
        <w:tc>
          <w:tcPr>
            <w:tcW w:w="2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129C2"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Variables</w:t>
            </w:r>
          </w:p>
        </w:tc>
        <w:tc>
          <w:tcPr>
            <w:tcW w:w="1760" w:type="dxa"/>
            <w:tcBorders>
              <w:top w:val="single" w:sz="4" w:space="0" w:color="auto"/>
              <w:left w:val="nil"/>
              <w:bottom w:val="nil"/>
              <w:right w:val="single" w:sz="4" w:space="0" w:color="auto"/>
            </w:tcBorders>
            <w:shd w:val="clear" w:color="auto" w:fill="auto"/>
            <w:noWrap/>
            <w:vAlign w:val="center"/>
            <w:hideMark/>
          </w:tcPr>
          <w:p w14:paraId="51DBD5BC"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r2</w:t>
            </w:r>
          </w:p>
        </w:tc>
        <w:tc>
          <w:tcPr>
            <w:tcW w:w="1080" w:type="dxa"/>
            <w:tcBorders>
              <w:top w:val="single" w:sz="4" w:space="0" w:color="auto"/>
              <w:left w:val="nil"/>
              <w:bottom w:val="nil"/>
              <w:right w:val="single" w:sz="4" w:space="0" w:color="auto"/>
            </w:tcBorders>
            <w:shd w:val="clear" w:color="auto" w:fill="auto"/>
            <w:vAlign w:val="center"/>
            <w:hideMark/>
          </w:tcPr>
          <w:p w14:paraId="79A37A77"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Adjusted r2</w:t>
            </w:r>
          </w:p>
        </w:tc>
        <w:tc>
          <w:tcPr>
            <w:tcW w:w="1720" w:type="dxa"/>
            <w:tcBorders>
              <w:top w:val="single" w:sz="4" w:space="0" w:color="auto"/>
              <w:left w:val="nil"/>
              <w:bottom w:val="nil"/>
              <w:right w:val="single" w:sz="4" w:space="0" w:color="auto"/>
            </w:tcBorders>
            <w:shd w:val="clear" w:color="auto" w:fill="auto"/>
            <w:vAlign w:val="center"/>
            <w:hideMark/>
          </w:tcPr>
          <w:p w14:paraId="0F9E1A06"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Note</w:t>
            </w:r>
          </w:p>
        </w:tc>
      </w:tr>
      <w:tr w:rsidR="004E67DD" w:rsidRPr="004E67DD" w14:paraId="3DAFF550" w14:textId="77777777" w:rsidTr="004E67DD">
        <w:trPr>
          <w:trHeight w:val="315"/>
        </w:trPr>
        <w:tc>
          <w:tcPr>
            <w:tcW w:w="1360" w:type="dxa"/>
            <w:vMerge w:val="restart"/>
            <w:tcBorders>
              <w:top w:val="single" w:sz="4" w:space="0" w:color="auto"/>
              <w:left w:val="single" w:sz="4" w:space="0" w:color="auto"/>
              <w:bottom w:val="single" w:sz="4" w:space="0" w:color="000000"/>
              <w:right w:val="nil"/>
            </w:tcBorders>
            <w:shd w:val="clear" w:color="auto" w:fill="auto"/>
            <w:noWrap/>
            <w:hideMark/>
          </w:tcPr>
          <w:p w14:paraId="57B36B99"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SWP</w:t>
            </w:r>
          </w:p>
        </w:tc>
        <w:tc>
          <w:tcPr>
            <w:tcW w:w="1100" w:type="dxa"/>
            <w:vMerge w:val="restart"/>
            <w:tcBorders>
              <w:top w:val="single" w:sz="4" w:space="0" w:color="auto"/>
              <w:left w:val="single" w:sz="4" w:space="0" w:color="auto"/>
              <w:bottom w:val="single" w:sz="4" w:space="0" w:color="000000"/>
              <w:right w:val="nil"/>
            </w:tcBorders>
            <w:shd w:val="clear" w:color="auto" w:fill="auto"/>
            <w:noWrap/>
            <w:hideMark/>
          </w:tcPr>
          <w:p w14:paraId="1933A47A"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2</w:t>
            </w:r>
          </w:p>
        </w:tc>
        <w:tc>
          <w:tcPr>
            <w:tcW w:w="2860" w:type="dxa"/>
            <w:tcBorders>
              <w:top w:val="nil"/>
              <w:left w:val="single" w:sz="4" w:space="0" w:color="auto"/>
              <w:bottom w:val="nil"/>
              <w:right w:val="single" w:sz="4" w:space="0" w:color="auto"/>
            </w:tcBorders>
            <w:shd w:val="clear" w:color="auto" w:fill="auto"/>
            <w:noWrap/>
            <w:vAlign w:val="bottom"/>
            <w:hideMark/>
          </w:tcPr>
          <w:p w14:paraId="6D399244"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dummy variable</w:t>
            </w:r>
          </w:p>
        </w:tc>
        <w:tc>
          <w:tcPr>
            <w:tcW w:w="1760" w:type="dxa"/>
            <w:vMerge w:val="restart"/>
            <w:tcBorders>
              <w:top w:val="single" w:sz="4" w:space="0" w:color="auto"/>
              <w:left w:val="nil"/>
              <w:bottom w:val="single" w:sz="4" w:space="0" w:color="000000"/>
              <w:right w:val="single" w:sz="4" w:space="0" w:color="auto"/>
            </w:tcBorders>
            <w:shd w:val="clear" w:color="auto" w:fill="auto"/>
            <w:noWrap/>
            <w:hideMark/>
          </w:tcPr>
          <w:p w14:paraId="54AD3283"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0.77</w:t>
            </w:r>
          </w:p>
        </w:tc>
        <w:tc>
          <w:tcPr>
            <w:tcW w:w="1080" w:type="dxa"/>
            <w:vMerge w:val="restart"/>
            <w:tcBorders>
              <w:top w:val="single" w:sz="4" w:space="0" w:color="auto"/>
              <w:left w:val="nil"/>
              <w:bottom w:val="single" w:sz="4" w:space="0" w:color="000000"/>
              <w:right w:val="single" w:sz="4" w:space="0" w:color="auto"/>
            </w:tcBorders>
            <w:shd w:val="clear" w:color="auto" w:fill="auto"/>
            <w:noWrap/>
            <w:hideMark/>
          </w:tcPr>
          <w:p w14:paraId="1377B684"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0.74</w:t>
            </w:r>
          </w:p>
        </w:tc>
        <w:tc>
          <w:tcPr>
            <w:tcW w:w="1720" w:type="dxa"/>
            <w:vMerge w:val="restart"/>
            <w:tcBorders>
              <w:top w:val="single" w:sz="4" w:space="0" w:color="auto"/>
              <w:left w:val="nil"/>
              <w:bottom w:val="single" w:sz="4" w:space="0" w:color="000000"/>
              <w:right w:val="single" w:sz="4" w:space="0" w:color="auto"/>
            </w:tcBorders>
            <w:shd w:val="clear" w:color="auto" w:fill="auto"/>
            <w:hideMark/>
          </w:tcPr>
          <w:p w14:paraId="72A1A125"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of deliveries used</w:t>
            </w:r>
          </w:p>
        </w:tc>
      </w:tr>
      <w:tr w:rsidR="004E67DD" w:rsidRPr="004E67DD" w14:paraId="50D447EF" w14:textId="77777777" w:rsidTr="004E67DD">
        <w:trPr>
          <w:trHeight w:val="315"/>
        </w:trPr>
        <w:tc>
          <w:tcPr>
            <w:tcW w:w="1360" w:type="dxa"/>
            <w:vMerge/>
            <w:tcBorders>
              <w:top w:val="single" w:sz="4" w:space="0" w:color="auto"/>
              <w:left w:val="single" w:sz="4" w:space="0" w:color="auto"/>
              <w:bottom w:val="single" w:sz="4" w:space="0" w:color="000000"/>
              <w:right w:val="nil"/>
            </w:tcBorders>
            <w:vAlign w:val="center"/>
            <w:hideMark/>
          </w:tcPr>
          <w:p w14:paraId="2262D50E"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1100" w:type="dxa"/>
            <w:vMerge/>
            <w:tcBorders>
              <w:top w:val="single" w:sz="4" w:space="0" w:color="auto"/>
              <w:left w:val="single" w:sz="4" w:space="0" w:color="auto"/>
              <w:bottom w:val="single" w:sz="4" w:space="0" w:color="000000"/>
              <w:right w:val="nil"/>
            </w:tcBorders>
            <w:vAlign w:val="center"/>
            <w:hideMark/>
          </w:tcPr>
          <w:p w14:paraId="44944F81"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8BAE467"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(SWDI exporting basins)</w:t>
            </w:r>
          </w:p>
        </w:tc>
        <w:tc>
          <w:tcPr>
            <w:tcW w:w="1760" w:type="dxa"/>
            <w:vMerge/>
            <w:tcBorders>
              <w:top w:val="single" w:sz="4" w:space="0" w:color="auto"/>
              <w:left w:val="nil"/>
              <w:bottom w:val="single" w:sz="4" w:space="0" w:color="000000"/>
              <w:right w:val="single" w:sz="4" w:space="0" w:color="auto"/>
            </w:tcBorders>
            <w:vAlign w:val="center"/>
            <w:hideMark/>
          </w:tcPr>
          <w:p w14:paraId="04D90369"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1080" w:type="dxa"/>
            <w:vMerge/>
            <w:tcBorders>
              <w:top w:val="single" w:sz="4" w:space="0" w:color="auto"/>
              <w:left w:val="nil"/>
              <w:bottom w:val="single" w:sz="4" w:space="0" w:color="000000"/>
              <w:right w:val="single" w:sz="4" w:space="0" w:color="auto"/>
            </w:tcBorders>
            <w:vAlign w:val="center"/>
            <w:hideMark/>
          </w:tcPr>
          <w:p w14:paraId="14648B45"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1720" w:type="dxa"/>
            <w:vMerge/>
            <w:tcBorders>
              <w:top w:val="single" w:sz="4" w:space="0" w:color="auto"/>
              <w:left w:val="nil"/>
              <w:bottom w:val="single" w:sz="4" w:space="0" w:color="000000"/>
              <w:right w:val="single" w:sz="4" w:space="0" w:color="auto"/>
            </w:tcBorders>
            <w:vAlign w:val="center"/>
            <w:hideMark/>
          </w:tcPr>
          <w:p w14:paraId="703F8B6A"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r>
      <w:tr w:rsidR="004E67DD" w:rsidRPr="004E67DD" w14:paraId="31C96CAE" w14:textId="77777777" w:rsidTr="004E67DD">
        <w:trPr>
          <w:trHeight w:val="315"/>
        </w:trPr>
        <w:tc>
          <w:tcPr>
            <w:tcW w:w="1360" w:type="dxa"/>
            <w:tcBorders>
              <w:top w:val="nil"/>
              <w:left w:val="single" w:sz="4" w:space="0" w:color="auto"/>
              <w:bottom w:val="nil"/>
              <w:right w:val="nil"/>
            </w:tcBorders>
            <w:shd w:val="clear" w:color="auto" w:fill="auto"/>
            <w:noWrap/>
            <w:hideMark/>
          </w:tcPr>
          <w:p w14:paraId="7AD88159"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LA Aqueduct</w:t>
            </w:r>
          </w:p>
        </w:tc>
        <w:tc>
          <w:tcPr>
            <w:tcW w:w="1100" w:type="dxa"/>
            <w:tcBorders>
              <w:top w:val="nil"/>
              <w:left w:val="single" w:sz="4" w:space="0" w:color="auto"/>
              <w:bottom w:val="nil"/>
              <w:right w:val="nil"/>
            </w:tcBorders>
            <w:shd w:val="clear" w:color="auto" w:fill="auto"/>
            <w:noWrap/>
            <w:hideMark/>
          </w:tcPr>
          <w:p w14:paraId="5EE73841"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1</w:t>
            </w:r>
          </w:p>
        </w:tc>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765F871"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SWDI of South Lahontan</w:t>
            </w:r>
          </w:p>
        </w:tc>
        <w:tc>
          <w:tcPr>
            <w:tcW w:w="1760" w:type="dxa"/>
            <w:tcBorders>
              <w:top w:val="nil"/>
              <w:left w:val="nil"/>
              <w:bottom w:val="nil"/>
              <w:right w:val="single" w:sz="4" w:space="0" w:color="auto"/>
            </w:tcBorders>
            <w:shd w:val="clear" w:color="auto" w:fill="auto"/>
            <w:noWrap/>
            <w:hideMark/>
          </w:tcPr>
          <w:p w14:paraId="4DF8F74B"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0.86</w:t>
            </w:r>
          </w:p>
        </w:tc>
        <w:tc>
          <w:tcPr>
            <w:tcW w:w="1080" w:type="dxa"/>
            <w:tcBorders>
              <w:top w:val="nil"/>
              <w:left w:val="nil"/>
              <w:bottom w:val="nil"/>
              <w:right w:val="single" w:sz="4" w:space="0" w:color="auto"/>
            </w:tcBorders>
            <w:shd w:val="clear" w:color="auto" w:fill="auto"/>
            <w:noWrap/>
            <w:hideMark/>
          </w:tcPr>
          <w:p w14:paraId="6333D5D4"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0.85</w:t>
            </w:r>
          </w:p>
        </w:tc>
        <w:tc>
          <w:tcPr>
            <w:tcW w:w="1720" w:type="dxa"/>
            <w:tcBorders>
              <w:top w:val="nil"/>
              <w:left w:val="nil"/>
              <w:bottom w:val="nil"/>
              <w:right w:val="single" w:sz="4" w:space="0" w:color="auto"/>
            </w:tcBorders>
            <w:shd w:val="clear" w:color="auto" w:fill="auto"/>
            <w:noWrap/>
            <w:hideMark/>
          </w:tcPr>
          <w:p w14:paraId="569F2132"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 </w:t>
            </w:r>
          </w:p>
        </w:tc>
      </w:tr>
      <w:tr w:rsidR="004E67DD" w:rsidRPr="004E67DD" w14:paraId="6188E930" w14:textId="77777777" w:rsidTr="004E67DD">
        <w:trPr>
          <w:trHeight w:val="315"/>
        </w:trPr>
        <w:tc>
          <w:tcPr>
            <w:tcW w:w="1360" w:type="dxa"/>
            <w:tcBorders>
              <w:top w:val="single" w:sz="4" w:space="0" w:color="auto"/>
              <w:left w:val="single" w:sz="4" w:space="0" w:color="auto"/>
              <w:bottom w:val="single" w:sz="4" w:space="0" w:color="auto"/>
              <w:right w:val="single" w:sz="4" w:space="0" w:color="auto"/>
            </w:tcBorders>
            <w:shd w:val="clear" w:color="auto" w:fill="auto"/>
            <w:noWrap/>
            <w:hideMark/>
          </w:tcPr>
          <w:p w14:paraId="175B302C"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Groundwater</w:t>
            </w:r>
          </w:p>
        </w:tc>
        <w:tc>
          <w:tcPr>
            <w:tcW w:w="1100" w:type="dxa"/>
            <w:tcBorders>
              <w:top w:val="single" w:sz="4" w:space="0" w:color="auto"/>
              <w:left w:val="nil"/>
              <w:bottom w:val="single" w:sz="4" w:space="0" w:color="auto"/>
              <w:right w:val="single" w:sz="4" w:space="0" w:color="auto"/>
            </w:tcBorders>
            <w:shd w:val="clear" w:color="auto" w:fill="auto"/>
            <w:noWrap/>
            <w:hideMark/>
          </w:tcPr>
          <w:p w14:paraId="2053BD1C"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1</w:t>
            </w:r>
          </w:p>
        </w:tc>
        <w:tc>
          <w:tcPr>
            <w:tcW w:w="2860" w:type="dxa"/>
            <w:tcBorders>
              <w:top w:val="nil"/>
              <w:left w:val="nil"/>
              <w:bottom w:val="single" w:sz="4" w:space="0" w:color="auto"/>
              <w:right w:val="single" w:sz="4" w:space="0" w:color="auto"/>
            </w:tcBorders>
            <w:shd w:val="clear" w:color="auto" w:fill="auto"/>
            <w:noWrap/>
            <w:vAlign w:val="bottom"/>
            <w:hideMark/>
          </w:tcPr>
          <w:p w14:paraId="478AACB2"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(GWPII)</w:t>
            </w:r>
          </w:p>
        </w:tc>
        <w:tc>
          <w:tcPr>
            <w:tcW w:w="1760" w:type="dxa"/>
            <w:tcBorders>
              <w:top w:val="single" w:sz="4" w:space="0" w:color="auto"/>
              <w:left w:val="nil"/>
              <w:bottom w:val="single" w:sz="4" w:space="0" w:color="auto"/>
              <w:right w:val="single" w:sz="4" w:space="0" w:color="auto"/>
            </w:tcBorders>
            <w:shd w:val="clear" w:color="auto" w:fill="auto"/>
            <w:noWrap/>
            <w:hideMark/>
          </w:tcPr>
          <w:p w14:paraId="2E0FF41E"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0.58</w:t>
            </w:r>
          </w:p>
        </w:tc>
        <w:tc>
          <w:tcPr>
            <w:tcW w:w="1080" w:type="dxa"/>
            <w:tcBorders>
              <w:top w:val="single" w:sz="4" w:space="0" w:color="auto"/>
              <w:left w:val="nil"/>
              <w:bottom w:val="single" w:sz="4" w:space="0" w:color="auto"/>
              <w:right w:val="single" w:sz="4" w:space="0" w:color="auto"/>
            </w:tcBorders>
            <w:shd w:val="clear" w:color="auto" w:fill="auto"/>
            <w:noWrap/>
            <w:hideMark/>
          </w:tcPr>
          <w:p w14:paraId="3514F95E"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0.55</w:t>
            </w:r>
          </w:p>
        </w:tc>
        <w:tc>
          <w:tcPr>
            <w:tcW w:w="1720" w:type="dxa"/>
            <w:tcBorders>
              <w:top w:val="single" w:sz="4" w:space="0" w:color="auto"/>
              <w:left w:val="nil"/>
              <w:bottom w:val="single" w:sz="4" w:space="0" w:color="auto"/>
              <w:right w:val="single" w:sz="4" w:space="0" w:color="auto"/>
            </w:tcBorders>
            <w:shd w:val="clear" w:color="auto" w:fill="auto"/>
            <w:noWrap/>
            <w:hideMark/>
          </w:tcPr>
          <w:p w14:paraId="00AF5628"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 </w:t>
            </w:r>
          </w:p>
        </w:tc>
      </w:tr>
      <w:tr w:rsidR="004E67DD" w:rsidRPr="004E67DD" w14:paraId="7AA70A8C" w14:textId="77777777" w:rsidTr="004E67DD">
        <w:trPr>
          <w:trHeight w:val="315"/>
        </w:trPr>
        <w:tc>
          <w:tcPr>
            <w:tcW w:w="1360" w:type="dxa"/>
            <w:tcBorders>
              <w:top w:val="nil"/>
              <w:left w:val="single" w:sz="4" w:space="0" w:color="auto"/>
              <w:bottom w:val="single" w:sz="4" w:space="0" w:color="auto"/>
              <w:right w:val="single" w:sz="4" w:space="0" w:color="auto"/>
            </w:tcBorders>
            <w:shd w:val="clear" w:color="auto" w:fill="auto"/>
            <w:noWrap/>
            <w:hideMark/>
          </w:tcPr>
          <w:p w14:paraId="5C66BA2B"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Colorado</w:t>
            </w:r>
          </w:p>
        </w:tc>
        <w:tc>
          <w:tcPr>
            <w:tcW w:w="1100" w:type="dxa"/>
            <w:tcBorders>
              <w:top w:val="nil"/>
              <w:left w:val="nil"/>
              <w:bottom w:val="single" w:sz="4" w:space="0" w:color="auto"/>
              <w:right w:val="single" w:sz="4" w:space="0" w:color="auto"/>
            </w:tcBorders>
            <w:shd w:val="clear" w:color="auto" w:fill="auto"/>
            <w:noWrap/>
            <w:hideMark/>
          </w:tcPr>
          <w:p w14:paraId="6C00DFDB"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1</w:t>
            </w:r>
          </w:p>
        </w:tc>
        <w:tc>
          <w:tcPr>
            <w:tcW w:w="2860" w:type="dxa"/>
            <w:tcBorders>
              <w:top w:val="nil"/>
              <w:left w:val="nil"/>
              <w:bottom w:val="single" w:sz="4" w:space="0" w:color="auto"/>
              <w:right w:val="single" w:sz="4" w:space="0" w:color="auto"/>
            </w:tcBorders>
            <w:shd w:val="clear" w:color="auto" w:fill="auto"/>
            <w:noWrap/>
            <w:vAlign w:val="bottom"/>
            <w:hideMark/>
          </w:tcPr>
          <w:p w14:paraId="7898C566"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(SWDI exporting basins)</w:t>
            </w:r>
          </w:p>
        </w:tc>
        <w:tc>
          <w:tcPr>
            <w:tcW w:w="1760" w:type="dxa"/>
            <w:tcBorders>
              <w:top w:val="nil"/>
              <w:left w:val="nil"/>
              <w:bottom w:val="single" w:sz="4" w:space="0" w:color="auto"/>
              <w:right w:val="single" w:sz="4" w:space="0" w:color="auto"/>
            </w:tcBorders>
            <w:shd w:val="clear" w:color="auto" w:fill="auto"/>
            <w:noWrap/>
            <w:hideMark/>
          </w:tcPr>
          <w:p w14:paraId="17D9C92D"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0.73</w:t>
            </w:r>
          </w:p>
        </w:tc>
        <w:tc>
          <w:tcPr>
            <w:tcW w:w="1080" w:type="dxa"/>
            <w:tcBorders>
              <w:top w:val="nil"/>
              <w:left w:val="nil"/>
              <w:bottom w:val="single" w:sz="4" w:space="0" w:color="auto"/>
              <w:right w:val="single" w:sz="4" w:space="0" w:color="auto"/>
            </w:tcBorders>
            <w:shd w:val="clear" w:color="auto" w:fill="auto"/>
            <w:noWrap/>
            <w:hideMark/>
          </w:tcPr>
          <w:p w14:paraId="19078536"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0.72</w:t>
            </w:r>
          </w:p>
        </w:tc>
        <w:tc>
          <w:tcPr>
            <w:tcW w:w="1720" w:type="dxa"/>
            <w:tcBorders>
              <w:top w:val="nil"/>
              <w:left w:val="nil"/>
              <w:bottom w:val="single" w:sz="4" w:space="0" w:color="auto"/>
              <w:right w:val="single" w:sz="4" w:space="0" w:color="auto"/>
            </w:tcBorders>
            <w:shd w:val="clear" w:color="auto" w:fill="auto"/>
            <w:noWrap/>
            <w:hideMark/>
          </w:tcPr>
          <w:p w14:paraId="508E357E"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 </w:t>
            </w:r>
          </w:p>
        </w:tc>
      </w:tr>
    </w:tbl>
    <w:p w14:paraId="370157A3" w14:textId="77777777" w:rsidR="000C76BA" w:rsidRDefault="000C76BA" w:rsidP="00523992"/>
    <w:p w14:paraId="0427B369" w14:textId="7953898D" w:rsidR="000A3430" w:rsidRDefault="000C76BA" w:rsidP="00523992">
      <w:pPr>
        <w:rPr>
          <w:sz w:val="32"/>
          <w:szCs w:val="40"/>
        </w:rPr>
      </w:pPr>
      <w:r>
        <w:t>Please check out appendix as well since I have included alternatives that provide better estimates for each supply.</w:t>
      </w:r>
      <w:r w:rsidR="000A3430">
        <w:br w:type="page"/>
      </w:r>
    </w:p>
    <w:p w14:paraId="087827CC" w14:textId="57481A59" w:rsidR="007977D7" w:rsidRDefault="007977D7" w:rsidP="00511579">
      <w:pPr>
        <w:pStyle w:val="Heading1"/>
      </w:pPr>
      <w:r>
        <w:lastRenderedPageBreak/>
        <w:t>Appendix</w:t>
      </w:r>
    </w:p>
    <w:p w14:paraId="2862D3A1" w14:textId="24415E46" w:rsidR="00F91BE6" w:rsidRDefault="00C26AB1" w:rsidP="00F91BE6">
      <w:pPr>
        <w:rPr>
          <w:u w:val="single"/>
        </w:rPr>
      </w:pPr>
      <w:r>
        <w:rPr>
          <w:u w:val="single"/>
        </w:rPr>
        <w:t>SWP</w:t>
      </w:r>
    </w:p>
    <w:p w14:paraId="110D38DD" w14:textId="17BAB50A" w:rsidR="004E67DD" w:rsidRDefault="004E67DD" w:rsidP="00F91BE6">
      <w:r>
        <w:t>Instead of this (</w:t>
      </w:r>
      <w:r w:rsidR="000C76BA">
        <w:t xml:space="preserve">which </w:t>
      </w:r>
      <w:r>
        <w:t xml:space="preserve">yields r2=0.77): </w:t>
      </w:r>
    </w:p>
    <w:p w14:paraId="30B57102" w14:textId="3AFF39F9" w:rsidR="00B65246" w:rsidRDefault="004E67DD" w:rsidP="00F91BE6">
      <w:r>
        <w:t>Y: log SWP</w:t>
      </w:r>
    </w:p>
    <w:p w14:paraId="31B35E90" w14:textId="2858147F" w:rsidR="004E67DD" w:rsidRDefault="004E67DD" w:rsidP="00F91BE6">
      <w:r>
        <w:t>X: dummy variable, log (SWDI delta)</w:t>
      </w:r>
    </w:p>
    <w:p w14:paraId="259E4EAC" w14:textId="417BF558" w:rsidR="004E67DD" w:rsidRDefault="004E67DD" w:rsidP="004E67DD">
      <w:r>
        <w:t>We use:</w:t>
      </w:r>
      <w:r>
        <w:br/>
        <w:t>Y: SWP</w:t>
      </w:r>
    </w:p>
    <w:p w14:paraId="453CEA8F" w14:textId="77777777" w:rsidR="004E67DD" w:rsidRDefault="004E67DD" w:rsidP="004E67DD">
      <w:r>
        <w:t>X: dummy variable, log (SWDI delta)</w:t>
      </w:r>
    </w:p>
    <w:p w14:paraId="4C503096" w14:textId="1116261D" w:rsidR="004E67DD" w:rsidRDefault="004E67DD" w:rsidP="00F91BE6">
      <w:r>
        <w:t>Which yields slightly better performance (0.82)</w:t>
      </w:r>
    </w:p>
    <w:p w14:paraId="6D0906A1" w14:textId="77777777" w:rsidR="00BC0958" w:rsidRDefault="00BC0958">
      <w:r>
        <w:br w:type="page"/>
      </w:r>
    </w:p>
    <w:p w14:paraId="77FC0D47" w14:textId="69C0120D" w:rsidR="004E67DD" w:rsidRDefault="00D93C5C" w:rsidP="00F91BE6">
      <w:r>
        <w:lastRenderedPageBreak/>
        <w:t xml:space="preserve">The following figures were not included since the sample size is very small (2002-2007) and might distort the analysis. 2008-2020 shows the general trend of increasing </w:t>
      </w:r>
      <w:proofErr w:type="spellStart"/>
      <w:r w:rsidR="00BC0958">
        <w:t>swp</w:t>
      </w:r>
      <w:proofErr w:type="spellEnd"/>
      <w:r w:rsidR="00BC0958">
        <w:t xml:space="preserve"> deliveries as SWDI delta increases, the plateau and the decrease could be due to </w:t>
      </w:r>
      <w:r w:rsidR="00BC0958" w:rsidRPr="00BC0958">
        <w:t>infrastructure constraints</w:t>
      </w:r>
      <w:r w:rsidR="00BC0958">
        <w:t>.</w:t>
      </w:r>
    </w:p>
    <w:p w14:paraId="38FACFA5" w14:textId="7960C9D6" w:rsidR="00D93C5C" w:rsidRDefault="00D93C5C" w:rsidP="00F91BE6">
      <w:r>
        <w:rPr>
          <w:noProof/>
        </w:rPr>
        <w:drawing>
          <wp:inline distT="0" distB="0" distL="0" distR="0" wp14:anchorId="112C0C62" wp14:editId="2A7EFA2C">
            <wp:extent cx="4305300" cy="2409825"/>
            <wp:effectExtent l="0" t="0" r="0" b="9525"/>
            <wp:docPr id="1545855549" name="Chart 1">
              <a:extLst xmlns:a="http://schemas.openxmlformats.org/drawingml/2006/main">
                <a:ext uri="{FF2B5EF4-FFF2-40B4-BE49-F238E27FC236}">
                  <a16:creationId xmlns:a16="http://schemas.microsoft.com/office/drawing/2014/main" id="{852DBE26-EE82-487E-8853-629E525192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drawing>
          <wp:inline distT="0" distB="0" distL="0" distR="0" wp14:anchorId="7A2EA809" wp14:editId="18C9F574">
            <wp:extent cx="4314825" cy="2457450"/>
            <wp:effectExtent l="0" t="0" r="9525" b="0"/>
            <wp:docPr id="827695047" name="Chart 2">
              <a:extLst xmlns:a="http://schemas.openxmlformats.org/drawingml/2006/main">
                <a:ext uri="{FF2B5EF4-FFF2-40B4-BE49-F238E27FC236}">
                  <a16:creationId xmlns:a16="http://schemas.microsoft.com/office/drawing/2014/main" id="{B7FFF604-07CD-4149-B19A-5809EFDF9E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95F73DF" w14:textId="77777777" w:rsidR="00D93C5C" w:rsidRPr="004E67DD" w:rsidRDefault="00D93C5C" w:rsidP="00F91BE6"/>
    <w:p w14:paraId="35476355" w14:textId="77777777" w:rsidR="00BC0958" w:rsidRDefault="00BC0958">
      <w:pPr>
        <w:rPr>
          <w:u w:val="single"/>
        </w:rPr>
      </w:pPr>
      <w:r>
        <w:rPr>
          <w:u w:val="single"/>
        </w:rPr>
        <w:br w:type="page"/>
      </w:r>
    </w:p>
    <w:p w14:paraId="19543E42" w14:textId="0E502FD3" w:rsidR="000F7E12" w:rsidRDefault="000F7E12" w:rsidP="000F7E12">
      <w:pPr>
        <w:rPr>
          <w:u w:val="single"/>
        </w:rPr>
      </w:pPr>
      <w:r>
        <w:rPr>
          <w:u w:val="single"/>
        </w:rPr>
        <w:lastRenderedPageBreak/>
        <w:t>Groundwater</w:t>
      </w:r>
    </w:p>
    <w:p w14:paraId="440F3C1F" w14:textId="0AD977B8" w:rsidR="00604769" w:rsidRDefault="000F7E12" w:rsidP="00B65246">
      <w:r>
        <w:t xml:space="preserve">We can get </w:t>
      </w:r>
      <w:r w:rsidR="00604769">
        <w:t xml:space="preserve">a </w:t>
      </w:r>
      <w:r>
        <w:t>decent estimate of groundwater deliveries (r2 = 0.73) by using the following variables:</w:t>
      </w:r>
      <w:r>
        <w:br/>
        <w:t>log (SWDI delta), (log SWDI SC), log (GWPII)</w:t>
      </w:r>
    </w:p>
    <w:p w14:paraId="1D6268FE" w14:textId="38F878B2" w:rsidR="00B65246" w:rsidRDefault="00604769" w:rsidP="00B65246">
      <w:r w:rsidRPr="00604769">
        <w:rPr>
          <w:noProof/>
        </w:rPr>
        <w:drawing>
          <wp:inline distT="0" distB="0" distL="0" distR="0" wp14:anchorId="2F3B210D" wp14:editId="2BB52BE1">
            <wp:extent cx="5943600" cy="1427480"/>
            <wp:effectExtent l="0" t="0" r="0" b="1270"/>
            <wp:docPr id="384490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90417" name="Picture 1" descr="A screenshot of a computer&#10;&#10;Description automatically generated"/>
                    <pic:cNvPicPr/>
                  </pic:nvPicPr>
                  <pic:blipFill>
                    <a:blip r:embed="rId21"/>
                    <a:stretch>
                      <a:fillRect/>
                    </a:stretch>
                  </pic:blipFill>
                  <pic:spPr>
                    <a:xfrm>
                      <a:off x="0" y="0"/>
                      <a:ext cx="5943600" cy="1427480"/>
                    </a:xfrm>
                    <a:prstGeom prst="rect">
                      <a:avLst/>
                    </a:prstGeom>
                  </pic:spPr>
                </pic:pic>
              </a:graphicData>
            </a:graphic>
          </wp:inline>
        </w:drawing>
      </w:r>
      <w:r w:rsidR="000F7E12">
        <w:t xml:space="preserve">  </w:t>
      </w:r>
    </w:p>
    <w:p w14:paraId="199E6207" w14:textId="59359FF6" w:rsidR="00604769" w:rsidRDefault="00604769" w:rsidP="00B65246">
      <w:r>
        <w:t xml:space="preserve">Physical </w:t>
      </w:r>
      <w:r w:rsidR="007D5523">
        <w:t>interpretation</w:t>
      </w:r>
      <w:r>
        <w:t>:</w:t>
      </w:r>
      <w:r>
        <w:br/>
      </w:r>
      <w:r>
        <w:rPr>
          <w:noProof/>
        </w:rPr>
        <w:drawing>
          <wp:inline distT="0" distB="0" distL="0" distR="0" wp14:anchorId="6D005153" wp14:editId="50D8D028">
            <wp:extent cx="4191000" cy="2324100"/>
            <wp:effectExtent l="0" t="0" r="0" b="0"/>
            <wp:docPr id="1103959928" name="Chart 1">
              <a:extLst xmlns:a="http://schemas.openxmlformats.org/drawingml/2006/main">
                <a:ext uri="{FF2B5EF4-FFF2-40B4-BE49-F238E27FC236}">
                  <a16:creationId xmlns:a16="http://schemas.microsoft.com/office/drawing/2014/main" id="{77DD30D0-B472-4DD6-A16E-84CD98C7E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45A206C" w14:textId="4D7CEA17" w:rsidR="007D5523" w:rsidRDefault="007D5523" w:rsidP="00B65246">
      <w:r>
        <w:rPr>
          <w:noProof/>
        </w:rPr>
        <w:drawing>
          <wp:inline distT="0" distB="0" distL="0" distR="0" wp14:anchorId="4C2D5756" wp14:editId="41AC37BF">
            <wp:extent cx="4191000" cy="2228850"/>
            <wp:effectExtent l="0" t="0" r="0" b="0"/>
            <wp:docPr id="1682056583" name="Chart 1">
              <a:extLst xmlns:a="http://schemas.openxmlformats.org/drawingml/2006/main">
                <a:ext uri="{FF2B5EF4-FFF2-40B4-BE49-F238E27FC236}">
                  <a16:creationId xmlns:a16="http://schemas.microsoft.com/office/drawing/2014/main" id="{F15E7505-CB8B-4925-9086-BB126CC88D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D29BF4" w14:textId="12CB1928" w:rsidR="007D5523" w:rsidRDefault="007D5523" w:rsidP="00B65246">
      <w:r>
        <w:rPr>
          <w:noProof/>
        </w:rPr>
        <w:lastRenderedPageBreak/>
        <w:drawing>
          <wp:inline distT="0" distB="0" distL="0" distR="0" wp14:anchorId="1490BF5E" wp14:editId="0A1244D8">
            <wp:extent cx="4191000" cy="2266950"/>
            <wp:effectExtent l="0" t="0" r="0" b="0"/>
            <wp:docPr id="1312074491" name="Chart 1">
              <a:extLst xmlns:a="http://schemas.openxmlformats.org/drawingml/2006/main">
                <a:ext uri="{FF2B5EF4-FFF2-40B4-BE49-F238E27FC236}">
                  <a16:creationId xmlns:a16="http://schemas.microsoft.com/office/drawing/2014/main" id="{B514BF5F-682D-7AA6-0B6C-ACC49BFDEE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055FDFC" w14:textId="56AC0ACA" w:rsidR="007D5523" w:rsidRDefault="007D5523" w:rsidP="00B65246">
      <w:r w:rsidRPr="007D5523">
        <w:rPr>
          <w:noProof/>
        </w:rPr>
        <w:drawing>
          <wp:inline distT="0" distB="0" distL="0" distR="0" wp14:anchorId="2126C678" wp14:editId="67B14BF9">
            <wp:extent cx="5544324" cy="952633"/>
            <wp:effectExtent l="0" t="0" r="0" b="0"/>
            <wp:docPr id="1237320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042" name="Picture 1" descr="A table with numbers and letters&#10;&#10;Description automatically generated"/>
                    <pic:cNvPicPr/>
                  </pic:nvPicPr>
                  <pic:blipFill>
                    <a:blip r:embed="rId25"/>
                    <a:stretch>
                      <a:fillRect/>
                    </a:stretch>
                  </pic:blipFill>
                  <pic:spPr>
                    <a:xfrm>
                      <a:off x="0" y="0"/>
                      <a:ext cx="5544324" cy="952633"/>
                    </a:xfrm>
                    <a:prstGeom prst="rect">
                      <a:avLst/>
                    </a:prstGeom>
                  </pic:spPr>
                </pic:pic>
              </a:graphicData>
            </a:graphic>
          </wp:inline>
        </w:drawing>
      </w:r>
    </w:p>
    <w:p w14:paraId="3450E110" w14:textId="22EECFA5" w:rsidR="007D5523" w:rsidRDefault="007D5523" w:rsidP="00B65246">
      <w:r>
        <w:t xml:space="preserve">Groundwater deliveries are relatively consistent as shown in the table above (where the intercept has p-value &lt;0.005). The SWDI delta and </w:t>
      </w:r>
      <w:proofErr w:type="spellStart"/>
      <w:r>
        <w:t>pctl_gwchange</w:t>
      </w:r>
      <w:proofErr w:type="spellEnd"/>
      <w:r>
        <w:t xml:space="preserve"> is negative which means:</w:t>
      </w:r>
    </w:p>
    <w:p w14:paraId="610C7A79" w14:textId="5FAA97B8" w:rsidR="007D5523" w:rsidRDefault="007D5523" w:rsidP="00B65246">
      <w:r>
        <w:t xml:space="preserve">As SWDI delta is higher, more </w:t>
      </w:r>
      <w:proofErr w:type="spellStart"/>
      <w:r>
        <w:t>swp</w:t>
      </w:r>
      <w:proofErr w:type="spellEnd"/>
      <w:r>
        <w:t xml:space="preserve"> deliveries thus less </w:t>
      </w:r>
      <w:proofErr w:type="spellStart"/>
      <w:r>
        <w:t>gw</w:t>
      </w:r>
      <w:proofErr w:type="spellEnd"/>
      <w:r>
        <w:t xml:space="preserve"> deliveries.</w:t>
      </w:r>
      <w:r w:rsidR="008A30BF">
        <w:t xml:space="preserve"> (as also seen in figure above)</w:t>
      </w:r>
    </w:p>
    <w:p w14:paraId="7DA7CA01" w14:textId="04D8BE89" w:rsidR="007D5523" w:rsidRDefault="007D5523" w:rsidP="008A30BF">
      <w:r>
        <w:t xml:space="preserve">As </w:t>
      </w:r>
      <w:proofErr w:type="spellStart"/>
      <w:r>
        <w:t>pclt_gwchange</w:t>
      </w:r>
      <w:proofErr w:type="spellEnd"/>
      <w:r>
        <w:t xml:space="preserve"> is lower, more pumping thus more </w:t>
      </w:r>
      <w:proofErr w:type="spellStart"/>
      <w:r>
        <w:t>gw</w:t>
      </w:r>
      <w:proofErr w:type="spellEnd"/>
      <w:r>
        <w:t xml:space="preserve"> deliveries.</w:t>
      </w:r>
      <w:r w:rsidR="008A30BF">
        <w:t xml:space="preserve"> (as also seen in figure above)</w:t>
      </w:r>
    </w:p>
    <w:p w14:paraId="485B4573" w14:textId="75626BC9" w:rsidR="007D5523" w:rsidRPr="00B65246" w:rsidRDefault="007D5523" w:rsidP="008A30BF">
      <w:r>
        <w:t xml:space="preserve">SWDI SC is positive, not sure if we can interpret it correctly. Could it be that </w:t>
      </w:r>
      <w:r w:rsidR="008A30BF">
        <w:t xml:space="preserve">more groundwater deliveries mean reservoirs are more filled (SWDI SC is higher). P-value </w:t>
      </w:r>
    </w:p>
    <w:p w14:paraId="4F40B87A" w14:textId="7C5EFD57" w:rsidR="00B17A41" w:rsidRDefault="00B17A41" w:rsidP="00F91BE6">
      <w:pPr>
        <w:rPr>
          <w:u w:val="single"/>
        </w:rPr>
      </w:pPr>
      <w:r>
        <w:rPr>
          <w:u w:val="single"/>
        </w:rPr>
        <w:t>Colorado</w:t>
      </w:r>
    </w:p>
    <w:p w14:paraId="2AB45A4F" w14:textId="63F9489C" w:rsidR="00B17A41" w:rsidRDefault="00B17A41" w:rsidP="00B17A41">
      <w:r>
        <w:t xml:space="preserve">groundwater is often preferred over Colorado because it is a more affordable alternative than imported water. </w:t>
      </w:r>
      <w:r w:rsidRPr="00E6160A">
        <w:t>However, the figure below also shows that increased groundwater pumping is associated with higher Colorado River deliveries. This</w:t>
      </w:r>
      <w:r>
        <w:t xml:space="preserve"> could</w:t>
      </w:r>
      <w:r w:rsidRPr="00E6160A">
        <w:t xml:space="preserve"> suggest that both groundwater and Colorado River water are being utilized to compensate for reduced SWP deliveries.</w:t>
      </w:r>
    </w:p>
    <w:p w14:paraId="58D97D9A" w14:textId="3B2ECFBC" w:rsidR="00B17A41" w:rsidRDefault="00B17A41" w:rsidP="00F91BE6">
      <w:r>
        <w:rPr>
          <w:noProof/>
        </w:rPr>
        <w:lastRenderedPageBreak/>
        <w:drawing>
          <wp:inline distT="0" distB="0" distL="0" distR="0" wp14:anchorId="0DE4298E" wp14:editId="051AE04A">
            <wp:extent cx="4572000" cy="2743200"/>
            <wp:effectExtent l="0" t="0" r="0" b="0"/>
            <wp:docPr id="122778426" name="Chart 1">
              <a:extLst xmlns:a="http://schemas.openxmlformats.org/drawingml/2006/main">
                <a:ext uri="{FF2B5EF4-FFF2-40B4-BE49-F238E27FC236}">
                  <a16:creationId xmlns:a16="http://schemas.microsoft.com/office/drawing/2014/main" id="{71439051-8F5B-71BC-3F32-0B394875C1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8DECDBD" w14:textId="2C493929" w:rsidR="008A30BF" w:rsidRDefault="008A30BF" w:rsidP="00F91BE6">
      <w:r>
        <w:rPr>
          <w:noProof/>
        </w:rPr>
        <w:drawing>
          <wp:inline distT="0" distB="0" distL="0" distR="0" wp14:anchorId="1022B250" wp14:editId="1D3AF6D2">
            <wp:extent cx="4595627" cy="2772641"/>
            <wp:effectExtent l="0" t="0" r="14605" b="8890"/>
            <wp:docPr id="993671678" name="Chart 1">
              <a:extLst xmlns:a="http://schemas.openxmlformats.org/drawingml/2006/main">
                <a:ext uri="{FF2B5EF4-FFF2-40B4-BE49-F238E27FC236}">
                  <a16:creationId xmlns:a16="http://schemas.microsoft.com/office/drawing/2014/main" id="{C0125294-C3FC-42C0-8C17-146D34871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4575F9C" w14:textId="3ADFB9CD" w:rsidR="008A30BF" w:rsidRDefault="008A30BF" w:rsidP="00F91BE6">
      <w:r>
        <w:t>As shown in the figures above the relationship between Colorado deliveries and SWDI delta and GWPII is logarithmic.</w:t>
      </w:r>
    </w:p>
    <w:p w14:paraId="5D26C19F" w14:textId="5F74A1C1" w:rsidR="008A30BF" w:rsidRDefault="008A30BF" w:rsidP="00F91BE6">
      <w:r>
        <w:t>By utilizing logarithmic of both SWDI delta and GWPII, we obtain the following results.</w:t>
      </w:r>
    </w:p>
    <w:p w14:paraId="5A250FA3" w14:textId="395BEC26" w:rsidR="008A30BF" w:rsidRDefault="008A30BF" w:rsidP="00F91BE6">
      <w:r w:rsidRPr="008A30BF">
        <w:rPr>
          <w:noProof/>
        </w:rPr>
        <w:drawing>
          <wp:inline distT="0" distB="0" distL="0" distR="0" wp14:anchorId="167F4373" wp14:editId="000212BF">
            <wp:extent cx="1247949" cy="1152686"/>
            <wp:effectExtent l="0" t="0" r="9525" b="9525"/>
            <wp:docPr id="342565959" name="Picture 1"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65959" name="Picture 1" descr="A table with numbers and a black text&#10;&#10;Description automatically generated"/>
                    <pic:cNvPicPr/>
                  </pic:nvPicPr>
                  <pic:blipFill>
                    <a:blip r:embed="rId28"/>
                    <a:stretch>
                      <a:fillRect/>
                    </a:stretch>
                  </pic:blipFill>
                  <pic:spPr>
                    <a:xfrm>
                      <a:off x="0" y="0"/>
                      <a:ext cx="1247949" cy="1152686"/>
                    </a:xfrm>
                    <a:prstGeom prst="rect">
                      <a:avLst/>
                    </a:prstGeom>
                  </pic:spPr>
                </pic:pic>
              </a:graphicData>
            </a:graphic>
          </wp:inline>
        </w:drawing>
      </w:r>
    </w:p>
    <w:p w14:paraId="5457E1D8" w14:textId="28FBAE11" w:rsidR="008A30BF" w:rsidRDefault="008A30BF" w:rsidP="008A30BF">
      <w:r w:rsidRPr="008A30BF">
        <w:rPr>
          <w:noProof/>
        </w:rPr>
        <w:lastRenderedPageBreak/>
        <w:drawing>
          <wp:inline distT="0" distB="0" distL="0" distR="0" wp14:anchorId="28CE702B" wp14:editId="4FFA7BB2">
            <wp:extent cx="5563376" cy="819264"/>
            <wp:effectExtent l="0" t="0" r="0" b="0"/>
            <wp:docPr id="619427020" name="Picture 1" descr="A white rectangular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7020" name="Picture 1" descr="A white rectangular table with black text&#10;&#10;Description automatically generated with medium confidence"/>
                    <pic:cNvPicPr/>
                  </pic:nvPicPr>
                  <pic:blipFill>
                    <a:blip r:embed="rId29"/>
                    <a:stretch>
                      <a:fillRect/>
                    </a:stretch>
                  </pic:blipFill>
                  <pic:spPr>
                    <a:xfrm>
                      <a:off x="0" y="0"/>
                      <a:ext cx="5563376" cy="819264"/>
                    </a:xfrm>
                    <a:prstGeom prst="rect">
                      <a:avLst/>
                    </a:prstGeom>
                  </pic:spPr>
                </pic:pic>
              </a:graphicData>
            </a:graphic>
          </wp:inline>
        </w:drawing>
      </w:r>
    </w:p>
    <w:p w14:paraId="4424F756" w14:textId="44559013" w:rsidR="008A30BF" w:rsidRDefault="008A30BF" w:rsidP="008A30BF">
      <w:proofErr w:type="gramStart"/>
      <w:r>
        <w:t>This results</w:t>
      </w:r>
      <w:proofErr w:type="gramEnd"/>
      <w:r>
        <w:t xml:space="preserve"> validate our reasoning with high r2 and p-value less than 0.05 for both and negative coefficients for both variables.</w:t>
      </w:r>
    </w:p>
    <w:sectPr w:rsidR="008A3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1D2D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9D325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46072EF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50CF6713"/>
    <w:multiLevelType w:val="hybridMultilevel"/>
    <w:tmpl w:val="3ECC9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E42CE"/>
    <w:multiLevelType w:val="hybridMultilevel"/>
    <w:tmpl w:val="3052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C85E2E"/>
    <w:multiLevelType w:val="hybridMultilevel"/>
    <w:tmpl w:val="CC5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92623"/>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029887">
    <w:abstractNumId w:val="0"/>
  </w:num>
  <w:num w:numId="2" w16cid:durableId="252667560">
    <w:abstractNumId w:val="6"/>
  </w:num>
  <w:num w:numId="3" w16cid:durableId="1764229348">
    <w:abstractNumId w:val="5"/>
  </w:num>
  <w:num w:numId="4" w16cid:durableId="2049720558">
    <w:abstractNumId w:val="1"/>
  </w:num>
  <w:num w:numId="5" w16cid:durableId="747070068">
    <w:abstractNumId w:val="2"/>
  </w:num>
  <w:num w:numId="6" w16cid:durableId="1058894947">
    <w:abstractNumId w:val="3"/>
  </w:num>
  <w:num w:numId="7" w16cid:durableId="796337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E2"/>
    <w:rsid w:val="00000B15"/>
    <w:rsid w:val="00003D50"/>
    <w:rsid w:val="000860EF"/>
    <w:rsid w:val="000A3430"/>
    <w:rsid w:val="000C76BA"/>
    <w:rsid w:val="000E1A9D"/>
    <w:rsid w:val="000F064A"/>
    <w:rsid w:val="000F7E12"/>
    <w:rsid w:val="001212E4"/>
    <w:rsid w:val="001519C6"/>
    <w:rsid w:val="00170FF8"/>
    <w:rsid w:val="00183A51"/>
    <w:rsid w:val="001B0622"/>
    <w:rsid w:val="001C50D8"/>
    <w:rsid w:val="00246F20"/>
    <w:rsid w:val="002E1087"/>
    <w:rsid w:val="0031065B"/>
    <w:rsid w:val="00312B95"/>
    <w:rsid w:val="00325DBB"/>
    <w:rsid w:val="00326569"/>
    <w:rsid w:val="00330722"/>
    <w:rsid w:val="0036384B"/>
    <w:rsid w:val="003A5E2C"/>
    <w:rsid w:val="003C726A"/>
    <w:rsid w:val="004419DF"/>
    <w:rsid w:val="004B2824"/>
    <w:rsid w:val="004B3418"/>
    <w:rsid w:val="004E67DD"/>
    <w:rsid w:val="004F279D"/>
    <w:rsid w:val="00511579"/>
    <w:rsid w:val="00523992"/>
    <w:rsid w:val="005355F7"/>
    <w:rsid w:val="00537495"/>
    <w:rsid w:val="005B58EC"/>
    <w:rsid w:val="005D2EEE"/>
    <w:rsid w:val="00604769"/>
    <w:rsid w:val="0063522E"/>
    <w:rsid w:val="00671CE1"/>
    <w:rsid w:val="006A1A9C"/>
    <w:rsid w:val="006F5E2A"/>
    <w:rsid w:val="0073711C"/>
    <w:rsid w:val="00785E86"/>
    <w:rsid w:val="007977D7"/>
    <w:rsid w:val="007D5523"/>
    <w:rsid w:val="00810BC5"/>
    <w:rsid w:val="0081301F"/>
    <w:rsid w:val="008668E4"/>
    <w:rsid w:val="008879C1"/>
    <w:rsid w:val="008A30BF"/>
    <w:rsid w:val="008F51FD"/>
    <w:rsid w:val="008F6DDA"/>
    <w:rsid w:val="009562CA"/>
    <w:rsid w:val="009713BE"/>
    <w:rsid w:val="0098607C"/>
    <w:rsid w:val="00994575"/>
    <w:rsid w:val="009A4DB2"/>
    <w:rsid w:val="009C1E04"/>
    <w:rsid w:val="00A01F43"/>
    <w:rsid w:val="00A1571C"/>
    <w:rsid w:val="00A2015D"/>
    <w:rsid w:val="00A479E2"/>
    <w:rsid w:val="00A6366B"/>
    <w:rsid w:val="00A743CC"/>
    <w:rsid w:val="00AE2BF2"/>
    <w:rsid w:val="00B13D1B"/>
    <w:rsid w:val="00B17A41"/>
    <w:rsid w:val="00B61264"/>
    <w:rsid w:val="00B65246"/>
    <w:rsid w:val="00B754AA"/>
    <w:rsid w:val="00B836C5"/>
    <w:rsid w:val="00BC0958"/>
    <w:rsid w:val="00BF4E30"/>
    <w:rsid w:val="00C171D3"/>
    <w:rsid w:val="00C26AB1"/>
    <w:rsid w:val="00C36D31"/>
    <w:rsid w:val="00C52E7B"/>
    <w:rsid w:val="00C672FB"/>
    <w:rsid w:val="00C70BE0"/>
    <w:rsid w:val="00C845C9"/>
    <w:rsid w:val="00CB092F"/>
    <w:rsid w:val="00CB67CB"/>
    <w:rsid w:val="00D657CD"/>
    <w:rsid w:val="00D93C5C"/>
    <w:rsid w:val="00DD55D6"/>
    <w:rsid w:val="00DF4441"/>
    <w:rsid w:val="00E1554D"/>
    <w:rsid w:val="00E36FF6"/>
    <w:rsid w:val="00E6160A"/>
    <w:rsid w:val="00E67437"/>
    <w:rsid w:val="00E81D6F"/>
    <w:rsid w:val="00E97426"/>
    <w:rsid w:val="00EC69F7"/>
    <w:rsid w:val="00ED2F34"/>
    <w:rsid w:val="00ED7CED"/>
    <w:rsid w:val="00F15EEF"/>
    <w:rsid w:val="00F4372F"/>
    <w:rsid w:val="00F91BE6"/>
    <w:rsid w:val="00FA72BE"/>
    <w:rsid w:val="00FD7D38"/>
    <w:rsid w:val="00FF2D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1DAD"/>
  <w15:chartTrackingRefBased/>
  <w15:docId w15:val="{0DD80B28-244D-4ECC-B66B-22458C227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DF"/>
  </w:style>
  <w:style w:type="paragraph" w:styleId="Heading1">
    <w:name w:val="heading 1"/>
    <w:basedOn w:val="Normal"/>
    <w:next w:val="Normal"/>
    <w:link w:val="Heading1Char"/>
    <w:uiPriority w:val="9"/>
    <w:qFormat/>
    <w:rsid w:val="003A5E2C"/>
    <w:pPr>
      <w:keepNext/>
      <w:keepLines/>
      <w:spacing w:before="360" w:after="80"/>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unhideWhenUsed/>
    <w:qFormat/>
    <w:rsid w:val="003A5E2C"/>
    <w:pPr>
      <w:keepNext/>
      <w:keepLines/>
      <w:spacing w:before="160" w:after="80"/>
      <w:outlineLvl w:val="1"/>
    </w:pPr>
    <w:rPr>
      <w:rFonts w:asciiTheme="majorHAnsi" w:eastAsiaTheme="majorEastAsia" w:hAnsiTheme="majorHAnsi" w:cstheme="majorBidi"/>
      <w:sz w:val="28"/>
      <w:szCs w:val="32"/>
    </w:rPr>
  </w:style>
  <w:style w:type="paragraph" w:styleId="Heading3">
    <w:name w:val="heading 3"/>
    <w:basedOn w:val="Normal"/>
    <w:next w:val="Normal"/>
    <w:link w:val="Heading3Char"/>
    <w:uiPriority w:val="9"/>
    <w:unhideWhenUsed/>
    <w:qFormat/>
    <w:rsid w:val="004419DF"/>
    <w:pPr>
      <w:keepNext/>
      <w:keepLines/>
      <w:spacing w:before="160" w:after="80"/>
      <w:outlineLvl w:val="2"/>
    </w:pPr>
    <w:rPr>
      <w:rFonts w:asciiTheme="majorHAnsi" w:eastAsiaTheme="majorEastAsia" w:hAnsiTheme="majorHAnsi" w:cstheme="majorBidi"/>
      <w:szCs w:val="28"/>
    </w:rPr>
  </w:style>
  <w:style w:type="paragraph" w:styleId="Heading4">
    <w:name w:val="heading 4"/>
    <w:basedOn w:val="Normal"/>
    <w:next w:val="Normal"/>
    <w:link w:val="Heading4Char"/>
    <w:uiPriority w:val="9"/>
    <w:unhideWhenUsed/>
    <w:qFormat/>
    <w:rsid w:val="004419DF"/>
    <w:pPr>
      <w:keepNext/>
      <w:keepLines/>
      <w:spacing w:before="80" w:after="40"/>
      <w:outlineLvl w:val="3"/>
    </w:pPr>
    <w:rPr>
      <w:rFonts w:asciiTheme="majorHAnsi" w:eastAsiaTheme="majorEastAsia" w:hAnsiTheme="majorHAnsi" w:cstheme="majorBidi"/>
      <w:iCs/>
      <w:u w:val="single"/>
    </w:rPr>
  </w:style>
  <w:style w:type="paragraph" w:styleId="Heading5">
    <w:name w:val="heading 5"/>
    <w:basedOn w:val="Normal"/>
    <w:next w:val="Normal"/>
    <w:link w:val="Heading5Char"/>
    <w:uiPriority w:val="9"/>
    <w:semiHidden/>
    <w:unhideWhenUsed/>
    <w:qFormat/>
    <w:rsid w:val="00A479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9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9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9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9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E2C"/>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rsid w:val="003A5E2C"/>
    <w:rPr>
      <w:rFonts w:asciiTheme="majorHAnsi" w:eastAsiaTheme="majorEastAsia" w:hAnsiTheme="majorHAnsi" w:cstheme="majorBidi"/>
      <w:sz w:val="28"/>
      <w:szCs w:val="32"/>
    </w:rPr>
  </w:style>
  <w:style w:type="character" w:customStyle="1" w:styleId="Heading3Char">
    <w:name w:val="Heading 3 Char"/>
    <w:basedOn w:val="DefaultParagraphFont"/>
    <w:link w:val="Heading3"/>
    <w:uiPriority w:val="9"/>
    <w:rsid w:val="004419DF"/>
    <w:rPr>
      <w:rFonts w:asciiTheme="majorHAnsi" w:eastAsiaTheme="majorEastAsia" w:hAnsiTheme="majorHAnsi" w:cstheme="majorBidi"/>
      <w:szCs w:val="28"/>
    </w:rPr>
  </w:style>
  <w:style w:type="character" w:customStyle="1" w:styleId="Heading4Char">
    <w:name w:val="Heading 4 Char"/>
    <w:basedOn w:val="DefaultParagraphFont"/>
    <w:link w:val="Heading4"/>
    <w:uiPriority w:val="9"/>
    <w:rsid w:val="004419DF"/>
    <w:rPr>
      <w:rFonts w:asciiTheme="majorHAnsi" w:eastAsiaTheme="majorEastAsia" w:hAnsiTheme="majorHAnsi" w:cstheme="majorBidi"/>
      <w:iCs/>
      <w:u w:val="single"/>
    </w:rPr>
  </w:style>
  <w:style w:type="character" w:customStyle="1" w:styleId="Heading5Char">
    <w:name w:val="Heading 5 Char"/>
    <w:basedOn w:val="DefaultParagraphFont"/>
    <w:link w:val="Heading5"/>
    <w:uiPriority w:val="9"/>
    <w:semiHidden/>
    <w:rsid w:val="00A479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9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9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9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9E2"/>
    <w:rPr>
      <w:rFonts w:eastAsiaTheme="majorEastAsia" w:cstheme="majorBidi"/>
      <w:color w:val="272727" w:themeColor="text1" w:themeTint="D8"/>
    </w:rPr>
  </w:style>
  <w:style w:type="paragraph" w:styleId="Title">
    <w:name w:val="Title"/>
    <w:basedOn w:val="Normal"/>
    <w:next w:val="Normal"/>
    <w:link w:val="TitleChar"/>
    <w:uiPriority w:val="10"/>
    <w:qFormat/>
    <w:rsid w:val="00A479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9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9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9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9E2"/>
    <w:pPr>
      <w:spacing w:before="160"/>
      <w:jc w:val="center"/>
    </w:pPr>
    <w:rPr>
      <w:i/>
      <w:iCs/>
      <w:color w:val="404040" w:themeColor="text1" w:themeTint="BF"/>
    </w:rPr>
  </w:style>
  <w:style w:type="character" w:customStyle="1" w:styleId="QuoteChar">
    <w:name w:val="Quote Char"/>
    <w:basedOn w:val="DefaultParagraphFont"/>
    <w:link w:val="Quote"/>
    <w:uiPriority w:val="29"/>
    <w:rsid w:val="00A479E2"/>
    <w:rPr>
      <w:i/>
      <w:iCs/>
      <w:color w:val="404040" w:themeColor="text1" w:themeTint="BF"/>
    </w:rPr>
  </w:style>
  <w:style w:type="paragraph" w:styleId="ListParagraph">
    <w:name w:val="List Paragraph"/>
    <w:basedOn w:val="Normal"/>
    <w:uiPriority w:val="34"/>
    <w:qFormat/>
    <w:rsid w:val="00A479E2"/>
    <w:pPr>
      <w:ind w:left="720"/>
      <w:contextualSpacing/>
    </w:pPr>
  </w:style>
  <w:style w:type="character" w:styleId="IntenseEmphasis">
    <w:name w:val="Intense Emphasis"/>
    <w:basedOn w:val="DefaultParagraphFont"/>
    <w:uiPriority w:val="21"/>
    <w:qFormat/>
    <w:rsid w:val="00A479E2"/>
    <w:rPr>
      <w:i/>
      <w:iCs/>
      <w:color w:val="0F4761" w:themeColor="accent1" w:themeShade="BF"/>
    </w:rPr>
  </w:style>
  <w:style w:type="paragraph" w:styleId="IntenseQuote">
    <w:name w:val="Intense Quote"/>
    <w:basedOn w:val="Normal"/>
    <w:next w:val="Normal"/>
    <w:link w:val="IntenseQuoteChar"/>
    <w:uiPriority w:val="30"/>
    <w:qFormat/>
    <w:rsid w:val="00A479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9E2"/>
    <w:rPr>
      <w:i/>
      <w:iCs/>
      <w:color w:val="0F4761" w:themeColor="accent1" w:themeShade="BF"/>
    </w:rPr>
  </w:style>
  <w:style w:type="character" w:styleId="IntenseReference">
    <w:name w:val="Intense Reference"/>
    <w:basedOn w:val="DefaultParagraphFont"/>
    <w:uiPriority w:val="32"/>
    <w:qFormat/>
    <w:rsid w:val="00A479E2"/>
    <w:rPr>
      <w:b/>
      <w:bCs/>
      <w:smallCaps/>
      <w:color w:val="0F4761" w:themeColor="accent1" w:themeShade="BF"/>
      <w:spacing w:val="5"/>
    </w:rPr>
  </w:style>
  <w:style w:type="paragraph" w:styleId="Caption">
    <w:name w:val="caption"/>
    <w:basedOn w:val="Normal"/>
    <w:next w:val="Normal"/>
    <w:uiPriority w:val="35"/>
    <w:unhideWhenUsed/>
    <w:qFormat/>
    <w:rsid w:val="00CB092F"/>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F4372F"/>
    <w:rPr>
      <w:sz w:val="16"/>
      <w:szCs w:val="16"/>
    </w:rPr>
  </w:style>
  <w:style w:type="paragraph" w:styleId="CommentText">
    <w:name w:val="annotation text"/>
    <w:basedOn w:val="Normal"/>
    <w:link w:val="CommentTextChar"/>
    <w:uiPriority w:val="99"/>
    <w:unhideWhenUsed/>
    <w:rsid w:val="00F4372F"/>
    <w:pPr>
      <w:spacing w:line="240" w:lineRule="auto"/>
    </w:pPr>
    <w:rPr>
      <w:sz w:val="20"/>
      <w:szCs w:val="20"/>
    </w:rPr>
  </w:style>
  <w:style w:type="character" w:customStyle="1" w:styleId="CommentTextChar">
    <w:name w:val="Comment Text Char"/>
    <w:basedOn w:val="DefaultParagraphFont"/>
    <w:link w:val="CommentText"/>
    <w:uiPriority w:val="99"/>
    <w:rsid w:val="00F4372F"/>
    <w:rPr>
      <w:sz w:val="20"/>
      <w:szCs w:val="20"/>
    </w:rPr>
  </w:style>
  <w:style w:type="paragraph" w:styleId="CommentSubject">
    <w:name w:val="annotation subject"/>
    <w:basedOn w:val="CommentText"/>
    <w:next w:val="CommentText"/>
    <w:link w:val="CommentSubjectChar"/>
    <w:uiPriority w:val="99"/>
    <w:semiHidden/>
    <w:unhideWhenUsed/>
    <w:rsid w:val="00F4372F"/>
    <w:rPr>
      <w:b/>
      <w:bCs/>
    </w:rPr>
  </w:style>
  <w:style w:type="character" w:customStyle="1" w:styleId="CommentSubjectChar">
    <w:name w:val="Comment Subject Char"/>
    <w:basedOn w:val="CommentTextChar"/>
    <w:link w:val="CommentSubject"/>
    <w:uiPriority w:val="99"/>
    <w:semiHidden/>
    <w:rsid w:val="00F4372F"/>
    <w:rPr>
      <w:b/>
      <w:bCs/>
      <w:sz w:val="20"/>
      <w:szCs w:val="20"/>
    </w:rPr>
  </w:style>
  <w:style w:type="table" w:styleId="TableGrid">
    <w:name w:val="Table Grid"/>
    <w:basedOn w:val="TableNormal"/>
    <w:uiPriority w:val="39"/>
    <w:rsid w:val="00523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737936">
      <w:bodyDiv w:val="1"/>
      <w:marLeft w:val="0"/>
      <w:marRight w:val="0"/>
      <w:marTop w:val="0"/>
      <w:marBottom w:val="0"/>
      <w:divBdr>
        <w:top w:val="none" w:sz="0" w:space="0" w:color="auto"/>
        <w:left w:val="none" w:sz="0" w:space="0" w:color="auto"/>
        <w:bottom w:val="none" w:sz="0" w:space="0" w:color="auto"/>
        <w:right w:val="none" w:sz="0" w:space="0" w:color="auto"/>
      </w:divBdr>
    </w:div>
    <w:div w:id="659431052">
      <w:bodyDiv w:val="1"/>
      <w:marLeft w:val="0"/>
      <w:marRight w:val="0"/>
      <w:marTop w:val="0"/>
      <w:marBottom w:val="0"/>
      <w:divBdr>
        <w:top w:val="none" w:sz="0" w:space="0" w:color="auto"/>
        <w:left w:val="none" w:sz="0" w:space="0" w:color="auto"/>
        <w:bottom w:val="none" w:sz="0" w:space="0" w:color="auto"/>
        <w:right w:val="none" w:sz="0" w:space="0" w:color="auto"/>
      </w:divBdr>
    </w:div>
    <w:div w:id="1438333353">
      <w:bodyDiv w:val="1"/>
      <w:marLeft w:val="0"/>
      <w:marRight w:val="0"/>
      <w:marTop w:val="0"/>
      <w:marBottom w:val="0"/>
      <w:divBdr>
        <w:top w:val="none" w:sz="0" w:space="0" w:color="auto"/>
        <w:left w:val="none" w:sz="0" w:space="0" w:color="auto"/>
        <w:bottom w:val="none" w:sz="0" w:space="0" w:color="auto"/>
        <w:right w:val="none" w:sz="0" w:space="0" w:color="auto"/>
      </w:divBdr>
    </w:div>
    <w:div w:id="147344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chart" Target="charts/chart10.xml"/><Relationship Id="rId23" Type="http://schemas.openxmlformats.org/officeDocument/2006/relationships/chart" Target="charts/chart17.xml"/><Relationship Id="rId28" Type="http://schemas.openxmlformats.org/officeDocument/2006/relationships/image" Target="media/image3.png"/><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6.xml"/><Relationship Id="rId27" Type="http://schemas.openxmlformats.org/officeDocument/2006/relationships/chart" Target="charts/chart20.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men\Desktop\Drought%20Indicators%20-%20SoCal\Main\supply%20portfolios%20with%20colora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8.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9.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10.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1.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Users\armen\Desktop\Drought%20Indicators%20-%20SoCal\Analysis\Supply%20Analysis\SWP%20Analysis.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Users\armen\Desktop\Drought%20Indicators%20-%20SoCal\Analysis\Supply%20Analysis\SWP%20Analysis.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2.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3.xlsx"/></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Worksheet14.xlsx"/></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15.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16.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4.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5.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6.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8"/>
          <c:order val="0"/>
          <c:tx>
            <c:strRef>
              <c:f>Main!$Z$4</c:f>
              <c:strCache>
                <c:ptCount val="1"/>
                <c:pt idx="0">
                  <c:v>SWP</c:v>
                </c:pt>
              </c:strCache>
            </c:strRef>
          </c:tx>
          <c:spPr>
            <a:solidFill>
              <a:schemeClr val="accent3">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Main!$Z$5:$Z$22</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945F-403B-A247-A91BCDEC29CD}"/>
            </c:ext>
          </c:extLst>
        </c:ser>
        <c:ser>
          <c:idx val="0"/>
          <c:order val="1"/>
          <c:tx>
            <c:strRef>
              <c:f>Main!$R$4</c:f>
              <c:strCache>
                <c:ptCount val="1"/>
                <c:pt idx="0">
                  <c:v>Colorado</c:v>
                </c:pt>
              </c:strCache>
            </c:strRef>
          </c:tx>
          <c:spPr>
            <a:solidFill>
              <a:schemeClr val="accent1"/>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Main!$R$5:$R$22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val>
          <c:extLst>
            <c:ext xmlns:c16="http://schemas.microsoft.com/office/drawing/2014/chart" uri="{C3380CC4-5D6E-409C-BE32-E72D297353CC}">
              <c16:uniqueId val="{00000001-945F-403B-A247-A91BCDEC29CD}"/>
            </c:ext>
          </c:extLst>
        </c:ser>
        <c:ser>
          <c:idx val="4"/>
          <c:order val="2"/>
          <c:tx>
            <c:strRef>
              <c:f>Main!$V$4</c:f>
              <c:strCache>
                <c:ptCount val="1"/>
                <c:pt idx="0">
                  <c:v>Groundwater</c:v>
                </c:pt>
              </c:strCache>
            </c:strRef>
          </c:tx>
          <c:spPr>
            <a:solidFill>
              <a:schemeClr val="accent5"/>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Main!$V$5:$V$22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2-945F-403B-A247-A91BCDEC29CD}"/>
            </c:ext>
          </c:extLst>
        </c:ser>
        <c:ser>
          <c:idx val="6"/>
          <c:order val="3"/>
          <c:tx>
            <c:strRef>
              <c:f>Main!$X$4</c:f>
              <c:strCache>
                <c:ptCount val="1"/>
                <c:pt idx="0">
                  <c:v>LocalSupplies</c:v>
                </c:pt>
              </c:strCache>
            </c:strRef>
          </c:tx>
          <c:spPr>
            <a:solidFill>
              <a:schemeClr val="accent1">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Main!$X$5:$X$22</c:f>
              <c:numCache>
                <c:formatCode>General</c:formatCode>
                <c:ptCount val="18"/>
                <c:pt idx="0">
                  <c:v>144.9</c:v>
                </c:pt>
                <c:pt idx="1">
                  <c:v>122</c:v>
                </c:pt>
                <c:pt idx="2">
                  <c:v>100.8</c:v>
                </c:pt>
                <c:pt idx="3">
                  <c:v>189.2</c:v>
                </c:pt>
                <c:pt idx="4">
                  <c:v>231.3</c:v>
                </c:pt>
                <c:pt idx="5">
                  <c:v>141.30000000000001</c:v>
                </c:pt>
                <c:pt idx="6">
                  <c:v>201.6</c:v>
                </c:pt>
                <c:pt idx="7">
                  <c:v>179.9</c:v>
                </c:pt>
                <c:pt idx="8">
                  <c:v>220.29999999999899</c:v>
                </c:pt>
                <c:pt idx="9">
                  <c:v>214.3</c:v>
                </c:pt>
                <c:pt idx="10">
                  <c:v>236.5</c:v>
                </c:pt>
                <c:pt idx="11">
                  <c:v>196.5</c:v>
                </c:pt>
                <c:pt idx="12">
                  <c:v>168</c:v>
                </c:pt>
                <c:pt idx="13">
                  <c:v>164</c:v>
                </c:pt>
                <c:pt idx="14">
                  <c:v>90.399999999999906</c:v>
                </c:pt>
                <c:pt idx="15">
                  <c:v>107.6</c:v>
                </c:pt>
                <c:pt idx="16">
                  <c:v>170.7</c:v>
                </c:pt>
                <c:pt idx="17">
                  <c:v>173.6</c:v>
                </c:pt>
              </c:numCache>
            </c:numRef>
          </c:val>
          <c:extLst>
            <c:ext xmlns:c16="http://schemas.microsoft.com/office/drawing/2014/chart" uri="{C3380CC4-5D6E-409C-BE32-E72D297353CC}">
              <c16:uniqueId val="{00000003-945F-403B-A247-A91BCDEC29CD}"/>
            </c:ext>
          </c:extLst>
        </c:ser>
        <c:ser>
          <c:idx val="3"/>
          <c:order val="4"/>
          <c:tx>
            <c:strRef>
              <c:f>Main!$U$4</c:f>
              <c:strCache>
                <c:ptCount val="1"/>
                <c:pt idx="0">
                  <c:v>Federal</c:v>
                </c:pt>
              </c:strCache>
            </c:strRef>
          </c:tx>
          <c:spPr>
            <a:solidFill>
              <a:schemeClr val="accent4"/>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Main!$U$5:$U$22</c:f>
              <c:numCache>
                <c:formatCode>General</c:formatCode>
                <c:ptCount val="18"/>
                <c:pt idx="0">
                  <c:v>53.6</c:v>
                </c:pt>
                <c:pt idx="1">
                  <c:v>0.7</c:v>
                </c:pt>
                <c:pt idx="2">
                  <c:v>0.4</c:v>
                </c:pt>
                <c:pt idx="3">
                  <c:v>42.099999999999902</c:v>
                </c:pt>
                <c:pt idx="4">
                  <c:v>0.4</c:v>
                </c:pt>
                <c:pt idx="5">
                  <c:v>0</c:v>
                </c:pt>
                <c:pt idx="6">
                  <c:v>0.3</c:v>
                </c:pt>
                <c:pt idx="7">
                  <c:v>0.8</c:v>
                </c:pt>
                <c:pt idx="8">
                  <c:v>1.4</c:v>
                </c:pt>
                <c:pt idx="9">
                  <c:v>1.7</c:v>
                </c:pt>
                <c:pt idx="10">
                  <c:v>0.1</c:v>
                </c:pt>
                <c:pt idx="11">
                  <c:v>0</c:v>
                </c:pt>
                <c:pt idx="12">
                  <c:v>0.1</c:v>
                </c:pt>
                <c:pt idx="13">
                  <c:v>0.2</c:v>
                </c:pt>
                <c:pt idx="14">
                  <c:v>0.1</c:v>
                </c:pt>
                <c:pt idx="15">
                  <c:v>0</c:v>
                </c:pt>
                <c:pt idx="16">
                  <c:v>1.5</c:v>
                </c:pt>
                <c:pt idx="17">
                  <c:v>0.3</c:v>
                </c:pt>
              </c:numCache>
            </c:numRef>
          </c:val>
          <c:extLst>
            <c:ext xmlns:c16="http://schemas.microsoft.com/office/drawing/2014/chart" uri="{C3380CC4-5D6E-409C-BE32-E72D297353CC}">
              <c16:uniqueId val="{00000004-945F-403B-A247-A91BCDEC29CD}"/>
            </c:ext>
          </c:extLst>
        </c:ser>
        <c:ser>
          <c:idx val="5"/>
          <c:order val="5"/>
          <c:tx>
            <c:strRef>
              <c:f>Main!$W$4</c:f>
              <c:strCache>
                <c:ptCount val="1"/>
                <c:pt idx="0">
                  <c:v>Imports</c:v>
                </c:pt>
              </c:strCache>
            </c:strRef>
          </c:tx>
          <c:spPr>
            <a:solidFill>
              <a:schemeClr val="accent6"/>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Main!$W$5:$W$22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5-945F-403B-A247-A91BCDEC29CD}"/>
            </c:ext>
          </c:extLst>
        </c:ser>
        <c:ser>
          <c:idx val="1"/>
          <c:order val="6"/>
          <c:tx>
            <c:strRef>
              <c:f>Main!$S$4</c:f>
              <c:strCache>
                <c:ptCount val="1"/>
                <c:pt idx="0">
                  <c:v>Desalination</c:v>
                </c:pt>
              </c:strCache>
            </c:strRef>
          </c:tx>
          <c:spPr>
            <a:solidFill>
              <a:schemeClr val="accent2"/>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Main!$S$5:$S$22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27.4</c:v>
                </c:pt>
                <c:pt idx="15">
                  <c:v>21.9</c:v>
                </c:pt>
                <c:pt idx="16">
                  <c:v>45.6</c:v>
                </c:pt>
                <c:pt idx="17">
                  <c:v>41.4</c:v>
                </c:pt>
              </c:numCache>
            </c:numRef>
          </c:val>
          <c:extLst>
            <c:ext xmlns:c16="http://schemas.microsoft.com/office/drawing/2014/chart" uri="{C3380CC4-5D6E-409C-BE32-E72D297353CC}">
              <c16:uniqueId val="{00000006-945F-403B-A247-A91BCDEC29CD}"/>
            </c:ext>
          </c:extLst>
        </c:ser>
        <c:ser>
          <c:idx val="7"/>
          <c:order val="7"/>
          <c:tx>
            <c:strRef>
              <c:f>Main!$Y$4</c:f>
              <c:strCache>
                <c:ptCount val="1"/>
                <c:pt idx="0">
                  <c:v>Other</c:v>
                </c:pt>
              </c:strCache>
            </c:strRef>
          </c:tx>
          <c:spPr>
            <a:solidFill>
              <a:schemeClr val="accent2">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Main!$Y$5:$Y$22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17.100000000000001</c:v>
                </c:pt>
                <c:pt idx="15">
                  <c:v>0</c:v>
                </c:pt>
                <c:pt idx="16">
                  <c:v>0</c:v>
                </c:pt>
                <c:pt idx="17">
                  <c:v>0</c:v>
                </c:pt>
              </c:numCache>
            </c:numRef>
          </c:val>
          <c:extLst>
            <c:ext xmlns:c16="http://schemas.microsoft.com/office/drawing/2014/chart" uri="{C3380CC4-5D6E-409C-BE32-E72D297353CC}">
              <c16:uniqueId val="{00000007-945F-403B-A247-A91BCDEC29CD}"/>
            </c:ext>
          </c:extLst>
        </c:ser>
        <c:dLbls>
          <c:showLegendKey val="0"/>
          <c:showVal val="0"/>
          <c:showCatName val="0"/>
          <c:showSerName val="0"/>
          <c:showPercent val="0"/>
          <c:showBubbleSize val="0"/>
        </c:dLbls>
        <c:gapWidth val="44"/>
        <c:overlap val="100"/>
        <c:axId val="852591504"/>
        <c:axId val="852633616"/>
      </c:barChart>
      <c:catAx>
        <c:axId val="85259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633616"/>
        <c:crosses val="autoZero"/>
        <c:auto val="1"/>
        <c:lblAlgn val="ctr"/>
        <c:lblOffset val="100"/>
        <c:noMultiLvlLbl val="0"/>
      </c:catAx>
      <c:valAx>
        <c:axId val="852633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Millions of acre-feet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591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28CB-4093-A319-1491E2BCEB3A}"/>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basins)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'1 var - GW'!$F$24</c:f>
              <c:strCache>
                <c:ptCount val="1"/>
                <c:pt idx="0">
                  <c:v>Estimated Groundwater imports</c:v>
                </c:pt>
              </c:strCache>
            </c:strRef>
          </c:tx>
          <c:spPr>
            <a:solidFill>
              <a:schemeClr val="accent1"/>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GW'!$F$25:$F$42</c:f>
              <c:numCache>
                <c:formatCode>General</c:formatCode>
                <c:ptCount val="18"/>
                <c:pt idx="0">
                  <c:v>1716.4334476389881</c:v>
                </c:pt>
                <c:pt idx="1">
                  <c:v>1495.3477586044467</c:v>
                </c:pt>
                <c:pt idx="2">
                  <c:v>1598.785708395257</c:v>
                </c:pt>
                <c:pt idx="3">
                  <c:v>1379.3710498911464</c:v>
                </c:pt>
                <c:pt idx="4">
                  <c:v>1436.0742778745366</c:v>
                </c:pt>
                <c:pt idx="5">
                  <c:v>1867.3336554573864</c:v>
                </c:pt>
                <c:pt idx="6">
                  <c:v>1536.2818368944984</c:v>
                </c:pt>
                <c:pt idx="7">
                  <c:v>1598.3144264095672</c:v>
                </c:pt>
                <c:pt idx="8">
                  <c:v>1412.133378048276</c:v>
                </c:pt>
                <c:pt idx="9">
                  <c:v>1393.5363480182486</c:v>
                </c:pt>
                <c:pt idx="10">
                  <c:v>1547.8947954245805</c:v>
                </c:pt>
                <c:pt idx="11">
                  <c:v>1837.8973577154559</c:v>
                </c:pt>
                <c:pt idx="12">
                  <c:v>1897.6209851528788</c:v>
                </c:pt>
                <c:pt idx="13">
                  <c:v>1635.9439813347828</c:v>
                </c:pt>
                <c:pt idx="14">
                  <c:v>1616.2630694875297</c:v>
                </c:pt>
                <c:pt idx="15">
                  <c:v>1558.4587440893811</c:v>
                </c:pt>
                <c:pt idx="16">
                  <c:v>1392.5894089218107</c:v>
                </c:pt>
                <c:pt idx="17">
                  <c:v>1421.0197706412171</c:v>
                </c:pt>
              </c:numCache>
            </c:numRef>
          </c:val>
          <c:extLst>
            <c:ext xmlns:c16="http://schemas.microsoft.com/office/drawing/2014/chart" uri="{C3380CC4-5D6E-409C-BE32-E72D297353CC}">
              <c16:uniqueId val="{00000000-AE53-47B5-871F-E3220095A0BD}"/>
            </c:ext>
          </c:extLst>
        </c:ser>
        <c:ser>
          <c:idx val="1"/>
          <c:order val="1"/>
          <c:tx>
            <c:strRef>
              <c:f>'1 var - GW'!$G$24</c:f>
              <c:strCache>
                <c:ptCount val="1"/>
                <c:pt idx="0">
                  <c:v>Actual Groundwater imports</c:v>
                </c:pt>
              </c:strCache>
            </c:strRef>
          </c:tx>
          <c:spPr>
            <a:solidFill>
              <a:schemeClr val="accent2"/>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GW'!$G$25:$G$42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1-AE53-47B5-871F-E3220095A0BD}"/>
            </c:ext>
          </c:extLst>
        </c:ser>
        <c:dLbls>
          <c:showLegendKey val="0"/>
          <c:showVal val="0"/>
          <c:showCatName val="0"/>
          <c:showSerName val="0"/>
          <c:showPercent val="0"/>
          <c:showBubbleSize val="0"/>
        </c:dLbls>
        <c:gapWidth val="219"/>
        <c:overlap val="-27"/>
        <c:axId val="760087888"/>
        <c:axId val="1087208448"/>
      </c:barChart>
      <c:catAx>
        <c:axId val="76008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208448"/>
        <c:crosses val="autoZero"/>
        <c:auto val="1"/>
        <c:lblAlgn val="ctr"/>
        <c:lblOffset val="100"/>
        <c:noMultiLvlLbl val="0"/>
      </c:catAx>
      <c:valAx>
        <c:axId val="108720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008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'Estimated bar graph'!$C$1:$C$2</c:f>
              <c:strCache>
                <c:ptCount val="2"/>
                <c:pt idx="0">
                  <c:v>Estimated Groundwater imports</c:v>
                </c:pt>
              </c:strCache>
            </c:strRef>
          </c:tx>
          <c:spPr>
            <a:solidFill>
              <a:schemeClr val="accent2"/>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graph'!$C$3:$C$56</c:f>
              <c:numCache>
                <c:formatCode>General</c:formatCode>
                <c:ptCount val="54"/>
                <c:pt idx="0" formatCode="0">
                  <c:v>1716.4334476389881</c:v>
                </c:pt>
                <c:pt idx="3" formatCode="0">
                  <c:v>1495.3477586044467</c:v>
                </c:pt>
                <c:pt idx="6" formatCode="0">
                  <c:v>1598.785708395257</c:v>
                </c:pt>
                <c:pt idx="9" formatCode="0">
                  <c:v>1379.3710498911464</c:v>
                </c:pt>
                <c:pt idx="12" formatCode="0">
                  <c:v>1436.0742778745366</c:v>
                </c:pt>
                <c:pt idx="15" formatCode="0">
                  <c:v>1867.3336554573864</c:v>
                </c:pt>
                <c:pt idx="18" formatCode="0">
                  <c:v>1536.2818368944984</c:v>
                </c:pt>
                <c:pt idx="21" formatCode="0">
                  <c:v>1598.3144264095672</c:v>
                </c:pt>
                <c:pt idx="24" formatCode="0">
                  <c:v>1412.133378048276</c:v>
                </c:pt>
                <c:pt idx="27" formatCode="0">
                  <c:v>1393.5363480182486</c:v>
                </c:pt>
                <c:pt idx="30" formatCode="0">
                  <c:v>1547.8947954245805</c:v>
                </c:pt>
                <c:pt idx="33" formatCode="0">
                  <c:v>1837.8973577154559</c:v>
                </c:pt>
                <c:pt idx="36" formatCode="0">
                  <c:v>1897.6209851528788</c:v>
                </c:pt>
                <c:pt idx="39" formatCode="0">
                  <c:v>1635.9439813347828</c:v>
                </c:pt>
                <c:pt idx="42" formatCode="0">
                  <c:v>1616.2630694875297</c:v>
                </c:pt>
                <c:pt idx="45" formatCode="0">
                  <c:v>1558.4587440893811</c:v>
                </c:pt>
                <c:pt idx="48" formatCode="0">
                  <c:v>1392.5894089218107</c:v>
                </c:pt>
                <c:pt idx="51" formatCode="0">
                  <c:v>1421.0197706412171</c:v>
                </c:pt>
              </c:numCache>
            </c:numRef>
          </c:val>
          <c:extLst>
            <c:ext xmlns:c16="http://schemas.microsoft.com/office/drawing/2014/chart" uri="{C3380CC4-5D6E-409C-BE32-E72D297353CC}">
              <c16:uniqueId val="{00000000-3EBB-4206-922F-7F47E3735B2D}"/>
            </c:ext>
          </c:extLst>
        </c:ser>
        <c:ser>
          <c:idx val="1"/>
          <c:order val="1"/>
          <c:tx>
            <c:strRef>
              <c:f>'Estimated bar graph'!$D$1:$D$2</c:f>
              <c:strCache>
                <c:ptCount val="2"/>
                <c:pt idx="0">
                  <c:v>Estimated LA Aqueduct imports</c:v>
                </c:pt>
              </c:strCache>
            </c:strRef>
          </c:tx>
          <c:spPr>
            <a:solidFill>
              <a:schemeClr val="accent4"/>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graph'!$D$3:$D$56</c:f>
              <c:numCache>
                <c:formatCode>General</c:formatCode>
                <c:ptCount val="54"/>
                <c:pt idx="0" formatCode="0">
                  <c:v>191.98356276952654</c:v>
                </c:pt>
                <c:pt idx="3" formatCode="0">
                  <c:v>248.28889640178761</c:v>
                </c:pt>
                <c:pt idx="6" formatCode="0">
                  <c:v>184.25537972196105</c:v>
                </c:pt>
                <c:pt idx="9" formatCode="0">
                  <c:v>353.17138061874493</c:v>
                </c:pt>
                <c:pt idx="12" formatCode="0">
                  <c:v>343.23514527187535</c:v>
                </c:pt>
                <c:pt idx="15" formatCode="0">
                  <c:v>146.71849063378701</c:v>
                </c:pt>
                <c:pt idx="18" formatCode="0">
                  <c:v>144.51043833448247</c:v>
                </c:pt>
                <c:pt idx="21" formatCode="0">
                  <c:v>187.56745817091786</c:v>
                </c:pt>
                <c:pt idx="24" formatCode="0">
                  <c:v>267.05734094587501</c:v>
                </c:pt>
                <c:pt idx="27" formatCode="0">
                  <c:v>335.5069622243102</c:v>
                </c:pt>
                <c:pt idx="30" formatCode="0">
                  <c:v>174.31914437509138</c:v>
                </c:pt>
                <c:pt idx="33" formatCode="0">
                  <c:v>116.90978459317806</c:v>
                </c:pt>
                <c:pt idx="36" formatCode="0">
                  <c:v>51.772241763699249</c:v>
                </c:pt>
                <c:pt idx="39" formatCode="0">
                  <c:v>28.587692621003544</c:v>
                </c:pt>
                <c:pt idx="42" formatCode="0">
                  <c:v>122.42991534143903</c:v>
                </c:pt>
                <c:pt idx="45" formatCode="0">
                  <c:v>204.12785041570032</c:v>
                </c:pt>
                <c:pt idx="48" formatCode="0">
                  <c:v>304.59423003404902</c:v>
                </c:pt>
                <c:pt idx="51" formatCode="0">
                  <c:v>214.06408576256996</c:v>
                </c:pt>
              </c:numCache>
            </c:numRef>
          </c:val>
          <c:extLst>
            <c:ext xmlns:c16="http://schemas.microsoft.com/office/drawing/2014/chart" uri="{C3380CC4-5D6E-409C-BE32-E72D297353CC}">
              <c16:uniqueId val="{00000001-3EBB-4206-922F-7F47E3735B2D}"/>
            </c:ext>
          </c:extLst>
        </c:ser>
        <c:ser>
          <c:idx val="2"/>
          <c:order val="2"/>
          <c:tx>
            <c:strRef>
              <c:f>'Estimated bar graph'!$E$1:$E$2</c:f>
              <c:strCache>
                <c:ptCount val="2"/>
                <c:pt idx="0">
                  <c:v>Estimated Colorado River imports</c:v>
                </c:pt>
              </c:strCache>
            </c:strRef>
          </c:tx>
          <c:spPr>
            <a:solidFill>
              <a:schemeClr val="accent5"/>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graph'!$E$3:$E$56</c:f>
              <c:numCache>
                <c:formatCode>General</c:formatCode>
                <c:ptCount val="54"/>
                <c:pt idx="0" formatCode="0">
                  <c:v>1028.14713879792</c:v>
                </c:pt>
                <c:pt idx="3" formatCode="0">
                  <c:v>976.31955730309369</c:v>
                </c:pt>
                <c:pt idx="6" formatCode="0">
                  <c:v>969.52398367193041</c:v>
                </c:pt>
                <c:pt idx="9" formatCode="0">
                  <c:v>889.0776867781201</c:v>
                </c:pt>
                <c:pt idx="12" formatCode="0">
                  <c:v>812.31673660451281</c:v>
                </c:pt>
                <c:pt idx="15" formatCode="0">
                  <c:v>983.25453699482807</c:v>
                </c:pt>
                <c:pt idx="18" formatCode="0">
                  <c:v>1215.8385713100911</c:v>
                </c:pt>
                <c:pt idx="21" formatCode="0">
                  <c:v>1307.3353940657976</c:v>
                </c:pt>
                <c:pt idx="24" formatCode="0">
                  <c:v>1028.14713879792</c:v>
                </c:pt>
                <c:pt idx="27" formatCode="0">
                  <c:v>819.79406774811514</c:v>
                </c:pt>
                <c:pt idx="30" formatCode="0">
                  <c:v>946.76078316846395</c:v>
                </c:pt>
                <c:pt idx="33" formatCode="0">
                  <c:v>1096.6550207866449</c:v>
                </c:pt>
                <c:pt idx="36" formatCode="0">
                  <c:v>1532.6508640549739</c:v>
                </c:pt>
                <c:pt idx="39" formatCode="0">
                  <c:v>1702.3922866444746</c:v>
                </c:pt>
                <c:pt idx="42" formatCode="0">
                  <c:v>1280.9790600918675</c:v>
                </c:pt>
                <c:pt idx="45" formatCode="0">
                  <c:v>988.55075609473397</c:v>
                </c:pt>
                <c:pt idx="48" formatCode="0">
                  <c:v>881.21527648156109</c:v>
                </c:pt>
                <c:pt idx="51" formatCode="0">
                  <c:v>1001.2411406049484</c:v>
                </c:pt>
              </c:numCache>
            </c:numRef>
          </c:val>
          <c:extLst>
            <c:ext xmlns:c16="http://schemas.microsoft.com/office/drawing/2014/chart" uri="{C3380CC4-5D6E-409C-BE32-E72D297353CC}">
              <c16:uniqueId val="{00000002-3EBB-4206-922F-7F47E3735B2D}"/>
            </c:ext>
          </c:extLst>
        </c:ser>
        <c:ser>
          <c:idx val="3"/>
          <c:order val="3"/>
          <c:tx>
            <c:strRef>
              <c:f>'Estimated bar graph'!$F$1:$F$2</c:f>
              <c:strCache>
                <c:ptCount val="2"/>
                <c:pt idx="0">
                  <c:v>Estimated SWP imports</c:v>
                </c:pt>
              </c:strCache>
            </c:strRef>
          </c:tx>
          <c:spPr>
            <a:solidFill>
              <a:schemeClr val="accent6"/>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graph'!$F$3:$F$56</c:f>
              <c:numCache>
                <c:formatCode>General</c:formatCode>
                <c:ptCount val="54"/>
                <c:pt idx="0" formatCode="0">
                  <c:v>1573.0190767197876</c:v>
                </c:pt>
                <c:pt idx="3" formatCode="0">
                  <c:v>1597.3040166677811</c:v>
                </c:pt>
                <c:pt idx="6" formatCode="0">
                  <c:v>1600.4882304162356</c:v>
                </c:pt>
                <c:pt idx="9" formatCode="0">
                  <c:v>1638.1830915839259</c:v>
                </c:pt>
                <c:pt idx="12" formatCode="0">
                  <c:v>1674.1511034330429</c:v>
                </c:pt>
                <c:pt idx="15" formatCode="0">
                  <c:v>1594.0544811792086</c:v>
                </c:pt>
                <c:pt idx="18" formatCode="0">
                  <c:v>905.40250124420629</c:v>
                </c:pt>
                <c:pt idx="21" formatCode="0">
                  <c:v>862.52967596532756</c:v>
                </c:pt>
                <c:pt idx="24" formatCode="0">
                  <c:v>993.34940202262635</c:v>
                </c:pt>
                <c:pt idx="27" formatCode="0">
                  <c:v>1090.9777626847892</c:v>
                </c:pt>
                <c:pt idx="30" formatCode="0">
                  <c:v>1031.4847481460931</c:v>
                </c:pt>
                <c:pt idx="33" formatCode="0">
                  <c:v>961.24854467842454</c:v>
                </c:pt>
                <c:pt idx="36" formatCode="0">
                  <c:v>756.95321454801592</c:v>
                </c:pt>
                <c:pt idx="39" formatCode="0">
                  <c:v>677.41718111985926</c:v>
                </c:pt>
                <c:pt idx="42" formatCode="0">
                  <c:v>874.87950918820411</c:v>
                </c:pt>
                <c:pt idx="45" formatCode="0">
                  <c:v>1011.9031478924898</c:v>
                </c:pt>
                <c:pt idx="48" formatCode="0">
                  <c:v>1062.1975201459047</c:v>
                </c:pt>
                <c:pt idx="51" formatCode="0">
                  <c:v>1005.9567923640484</c:v>
                </c:pt>
              </c:numCache>
            </c:numRef>
          </c:val>
          <c:extLst>
            <c:ext xmlns:c16="http://schemas.microsoft.com/office/drawing/2014/chart" uri="{C3380CC4-5D6E-409C-BE32-E72D297353CC}">
              <c16:uniqueId val="{00000003-3EBB-4206-922F-7F47E3735B2D}"/>
            </c:ext>
          </c:extLst>
        </c:ser>
        <c:ser>
          <c:idx val="4"/>
          <c:order val="4"/>
          <c:tx>
            <c:strRef>
              <c:f>'Estimated bar graph'!$G$1:$G$2</c:f>
              <c:strCache>
                <c:ptCount val="2"/>
                <c:pt idx="0">
                  <c:v>Actual Groundwater imports</c:v>
                </c:pt>
              </c:strCache>
            </c:strRef>
          </c:tx>
          <c:spPr>
            <a:solidFill>
              <a:schemeClr val="accent2">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graph'!$G$3:$G$56</c:f>
              <c:numCache>
                <c:formatCode>0</c:formatCode>
                <c:ptCount val="54"/>
                <c:pt idx="1">
                  <c:v>1897.6</c:v>
                </c:pt>
                <c:pt idx="4">
                  <c:v>1542.69999999999</c:v>
                </c:pt>
                <c:pt idx="7">
                  <c:v>1476.3</c:v>
                </c:pt>
                <c:pt idx="10">
                  <c:v>1237.5999999999999</c:v>
                </c:pt>
                <c:pt idx="13">
                  <c:v>1739.9</c:v>
                </c:pt>
                <c:pt idx="16">
                  <c:v>1802.4</c:v>
                </c:pt>
                <c:pt idx="19">
                  <c:v>1697.1</c:v>
                </c:pt>
                <c:pt idx="22">
                  <c:v>1744.5</c:v>
                </c:pt>
                <c:pt idx="25">
                  <c:v>1408.2</c:v>
                </c:pt>
                <c:pt idx="28">
                  <c:v>1351</c:v>
                </c:pt>
                <c:pt idx="31">
                  <c:v>1484.1</c:v>
                </c:pt>
                <c:pt idx="34">
                  <c:v>1824.2</c:v>
                </c:pt>
                <c:pt idx="37">
                  <c:v>1986.1</c:v>
                </c:pt>
                <c:pt idx="40">
                  <c:v>1462.3</c:v>
                </c:pt>
                <c:pt idx="43">
                  <c:v>1331</c:v>
                </c:pt>
                <c:pt idx="46">
                  <c:v>1579.3</c:v>
                </c:pt>
                <c:pt idx="49">
                  <c:v>1414.9</c:v>
                </c:pt>
                <c:pt idx="52">
                  <c:v>1362.1</c:v>
                </c:pt>
              </c:numCache>
            </c:numRef>
          </c:val>
          <c:extLst>
            <c:ext xmlns:c16="http://schemas.microsoft.com/office/drawing/2014/chart" uri="{C3380CC4-5D6E-409C-BE32-E72D297353CC}">
              <c16:uniqueId val="{00000004-3EBB-4206-922F-7F47E3735B2D}"/>
            </c:ext>
          </c:extLst>
        </c:ser>
        <c:ser>
          <c:idx val="5"/>
          <c:order val="5"/>
          <c:tx>
            <c:strRef>
              <c:f>'Estimated bar graph'!$H$1:$H$2</c:f>
              <c:strCache>
                <c:ptCount val="2"/>
                <c:pt idx="0">
                  <c:v>Actual LA Aqueduct imports</c:v>
                </c:pt>
              </c:strCache>
            </c:strRef>
          </c:tx>
          <c:spPr>
            <a:solidFill>
              <a:schemeClr val="accent4">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graph'!$H$3:$H$56</c:f>
              <c:numCache>
                <c:formatCode>0</c:formatCode>
                <c:ptCount val="54"/>
                <c:pt idx="1">
                  <c:v>218.4</c:v>
                </c:pt>
                <c:pt idx="4">
                  <c:v>207.3</c:v>
                </c:pt>
                <c:pt idx="7">
                  <c:v>202.6</c:v>
                </c:pt>
                <c:pt idx="10">
                  <c:v>339.79999999999899</c:v>
                </c:pt>
                <c:pt idx="13">
                  <c:v>365.8</c:v>
                </c:pt>
                <c:pt idx="16">
                  <c:v>185.79999999999899</c:v>
                </c:pt>
                <c:pt idx="19">
                  <c:v>138.19999999999999</c:v>
                </c:pt>
                <c:pt idx="22">
                  <c:v>98.8</c:v>
                </c:pt>
                <c:pt idx="25">
                  <c:v>241.6</c:v>
                </c:pt>
                <c:pt idx="28">
                  <c:v>324.89999999999998</c:v>
                </c:pt>
                <c:pt idx="31">
                  <c:v>200.1</c:v>
                </c:pt>
                <c:pt idx="34">
                  <c:v>74.5</c:v>
                </c:pt>
                <c:pt idx="37">
                  <c:v>51.5</c:v>
                </c:pt>
                <c:pt idx="40">
                  <c:v>35.200000000000003</c:v>
                </c:pt>
                <c:pt idx="43">
                  <c:v>96.1</c:v>
                </c:pt>
                <c:pt idx="46">
                  <c:v>284.2</c:v>
                </c:pt>
                <c:pt idx="49">
                  <c:v>309.3</c:v>
                </c:pt>
                <c:pt idx="52">
                  <c:v>245</c:v>
                </c:pt>
              </c:numCache>
            </c:numRef>
          </c:val>
          <c:extLst>
            <c:ext xmlns:c16="http://schemas.microsoft.com/office/drawing/2014/chart" uri="{C3380CC4-5D6E-409C-BE32-E72D297353CC}">
              <c16:uniqueId val="{00000005-3EBB-4206-922F-7F47E3735B2D}"/>
            </c:ext>
          </c:extLst>
        </c:ser>
        <c:ser>
          <c:idx val="6"/>
          <c:order val="6"/>
          <c:tx>
            <c:strRef>
              <c:f>'Estimated bar graph'!$I$1:$I$2</c:f>
              <c:strCache>
                <c:ptCount val="2"/>
                <c:pt idx="0">
                  <c:v>Actual Colorado River imports</c:v>
                </c:pt>
              </c:strCache>
            </c:strRef>
          </c:tx>
          <c:spPr>
            <a:solidFill>
              <a:schemeClr val="accent1">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graph'!$I$3:$I$56</c:f>
              <c:numCache>
                <c:formatCode>0</c:formatCode>
                <c:ptCount val="54"/>
                <c:pt idx="1">
                  <c:v>1309.3</c:v>
                </c:pt>
                <c:pt idx="4">
                  <c:v>756.6</c:v>
                </c:pt>
                <c:pt idx="7">
                  <c:v>1098.5</c:v>
                </c:pt>
                <c:pt idx="10">
                  <c:v>771.69999999999902</c:v>
                </c:pt>
                <c:pt idx="13">
                  <c:v>806.7</c:v>
                </c:pt>
                <c:pt idx="16">
                  <c:v>1079.4000000000001</c:v>
                </c:pt>
                <c:pt idx="19">
                  <c:v>1254.4000000000001</c:v>
                </c:pt>
                <c:pt idx="22">
                  <c:v>1216.4000000000001</c:v>
                </c:pt>
                <c:pt idx="25">
                  <c:v>987.8</c:v>
                </c:pt>
                <c:pt idx="28">
                  <c:v>955.8</c:v>
                </c:pt>
                <c:pt idx="31">
                  <c:v>902.19999999999902</c:v>
                </c:pt>
                <c:pt idx="34">
                  <c:v>1304.0999999999999</c:v>
                </c:pt>
                <c:pt idx="37">
                  <c:v>1730.3</c:v>
                </c:pt>
                <c:pt idx="40">
                  <c:v>1573.2</c:v>
                </c:pt>
                <c:pt idx="43">
                  <c:v>1186.5999999999999</c:v>
                </c:pt>
                <c:pt idx="46">
                  <c:v>917.1</c:v>
                </c:pt>
                <c:pt idx="49">
                  <c:v>775.4</c:v>
                </c:pt>
                <c:pt idx="52">
                  <c:v>834.7</c:v>
                </c:pt>
              </c:numCache>
            </c:numRef>
          </c:val>
          <c:extLst>
            <c:ext xmlns:c16="http://schemas.microsoft.com/office/drawing/2014/chart" uri="{C3380CC4-5D6E-409C-BE32-E72D297353CC}">
              <c16:uniqueId val="{00000006-3EBB-4206-922F-7F47E3735B2D}"/>
            </c:ext>
          </c:extLst>
        </c:ser>
        <c:ser>
          <c:idx val="7"/>
          <c:order val="7"/>
          <c:tx>
            <c:strRef>
              <c:f>'Estimated bar graph'!$J$1:$J$2</c:f>
              <c:strCache>
                <c:ptCount val="2"/>
                <c:pt idx="0">
                  <c:v>Actual SWP imports</c:v>
                </c:pt>
              </c:strCache>
            </c:strRef>
          </c:tx>
          <c:spPr>
            <a:solidFill>
              <a:schemeClr val="accent6">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graph'!$J$3:$J$56</c:f>
              <c:numCache>
                <c:formatCode>0</c:formatCode>
                <c:ptCount val="54"/>
                <c:pt idx="1">
                  <c:v>1533.5</c:v>
                </c:pt>
                <c:pt idx="4">
                  <c:v>1712.8999999999901</c:v>
                </c:pt>
                <c:pt idx="7">
                  <c:v>1836.19999999999</c:v>
                </c:pt>
                <c:pt idx="10">
                  <c:v>1528.5</c:v>
                </c:pt>
                <c:pt idx="13">
                  <c:v>1469.7</c:v>
                </c:pt>
                <c:pt idx="16">
                  <c:v>1596.4</c:v>
                </c:pt>
                <c:pt idx="19">
                  <c:v>1269.2</c:v>
                </c:pt>
                <c:pt idx="22">
                  <c:v>985.7</c:v>
                </c:pt>
                <c:pt idx="25">
                  <c:v>826.9</c:v>
                </c:pt>
                <c:pt idx="28">
                  <c:v>900.69999999999902</c:v>
                </c:pt>
                <c:pt idx="31">
                  <c:v>1170.3999999999901</c:v>
                </c:pt>
                <c:pt idx="34">
                  <c:v>1060.8</c:v>
                </c:pt>
                <c:pt idx="37">
                  <c:v>642.9</c:v>
                </c:pt>
                <c:pt idx="40">
                  <c:v>456.4</c:v>
                </c:pt>
                <c:pt idx="43">
                  <c:v>917.3</c:v>
                </c:pt>
                <c:pt idx="46">
                  <c:v>1042.9000000000001</c:v>
                </c:pt>
                <c:pt idx="49">
                  <c:v>921.5</c:v>
                </c:pt>
                <c:pt idx="52">
                  <c:v>1039.5999999999999</c:v>
                </c:pt>
              </c:numCache>
            </c:numRef>
          </c:val>
          <c:extLst>
            <c:ext xmlns:c16="http://schemas.microsoft.com/office/drawing/2014/chart" uri="{C3380CC4-5D6E-409C-BE32-E72D297353CC}">
              <c16:uniqueId val="{00000007-3EBB-4206-922F-7F47E3735B2D}"/>
            </c:ext>
          </c:extLst>
        </c:ser>
        <c:dLbls>
          <c:showLegendKey val="0"/>
          <c:showVal val="0"/>
          <c:showCatName val="0"/>
          <c:showSerName val="0"/>
          <c:showPercent val="0"/>
          <c:showBubbleSize val="0"/>
        </c:dLbls>
        <c:gapWidth val="20"/>
        <c:overlap val="100"/>
        <c:axId val="792857663"/>
        <c:axId val="607903040"/>
      </c:barChart>
      <c:catAx>
        <c:axId val="792857663"/>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03040"/>
        <c:crosses val="autoZero"/>
        <c:auto val="1"/>
        <c:lblAlgn val="ctr"/>
        <c:lblOffset val="100"/>
        <c:noMultiLvlLbl val="0"/>
      </c:catAx>
      <c:valAx>
        <c:axId val="60790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Deliveries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857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792441704247787"/>
          <c:y val="4.0404040404040407E-2"/>
          <c:w val="0.84411800556949979"/>
          <c:h val="0.79649841290499845"/>
        </c:manualLayout>
      </c:layout>
      <c:scatterChart>
        <c:scatterStyle val="lineMarker"/>
        <c:varyColors val="0"/>
        <c:ser>
          <c:idx val="0"/>
          <c:order val="0"/>
          <c:tx>
            <c:strRef>
              <c:f>Estimated!$C$42</c:f>
              <c:strCache>
                <c:ptCount val="1"/>
                <c:pt idx="0">
                  <c:v>Actual Total imports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8.3665214444543598E-2"/>
                  <c:y val="-0.101015017750880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Estimated!$B$43:$B$60</c:f>
              <c:numCache>
                <c:formatCode>0</c:formatCode>
                <c:ptCount val="18"/>
                <c:pt idx="0">
                  <c:v>4509.5832259262224</c:v>
                </c:pt>
                <c:pt idx="1">
                  <c:v>4317.2602289771094</c:v>
                </c:pt>
                <c:pt idx="2">
                  <c:v>4353.0533022053842</c:v>
                </c:pt>
                <c:pt idx="3">
                  <c:v>4259.8032088719374</c:v>
                </c:pt>
                <c:pt idx="4">
                  <c:v>4265.7772631839671</c:v>
                </c:pt>
                <c:pt idx="5">
                  <c:v>4591.3611642652104</c:v>
                </c:pt>
                <c:pt idx="6">
                  <c:v>3802.0333477832783</c:v>
                </c:pt>
                <c:pt idx="7">
                  <c:v>3955.7469546116099</c:v>
                </c:pt>
                <c:pt idx="8">
                  <c:v>3700.6872598146974</c:v>
                </c:pt>
                <c:pt idx="9">
                  <c:v>3639.8151406754632</c:v>
                </c:pt>
                <c:pt idx="10">
                  <c:v>3700.459471114229</c:v>
                </c:pt>
                <c:pt idx="11">
                  <c:v>4012.7107077737032</c:v>
                </c:pt>
                <c:pt idx="12">
                  <c:v>4238.9973055195678</c:v>
                </c:pt>
                <c:pt idx="13">
                  <c:v>4044.3411417201205</c:v>
                </c:pt>
                <c:pt idx="14">
                  <c:v>3894.5515541090399</c:v>
                </c:pt>
                <c:pt idx="15">
                  <c:v>3763.0404984923052</c:v>
                </c:pt>
                <c:pt idx="16">
                  <c:v>3640.5964355833257</c:v>
                </c:pt>
                <c:pt idx="17">
                  <c:v>3642.2817893727838</c:v>
                </c:pt>
              </c:numCache>
            </c:numRef>
          </c:xVal>
          <c:yVal>
            <c:numRef>
              <c:f>Estimated!$C$43:$C$60</c:f>
              <c:numCache>
                <c:formatCode>0</c:formatCode>
                <c:ptCount val="18"/>
                <c:pt idx="0">
                  <c:v>4958.8</c:v>
                </c:pt>
                <c:pt idx="1">
                  <c:v>4219.49999999998</c:v>
                </c:pt>
                <c:pt idx="2">
                  <c:v>4613.5999999999894</c:v>
                </c:pt>
                <c:pt idx="3">
                  <c:v>3877.5999999999981</c:v>
                </c:pt>
                <c:pt idx="4">
                  <c:v>4382.1000000000004</c:v>
                </c:pt>
                <c:pt idx="5">
                  <c:v>4664</c:v>
                </c:pt>
                <c:pt idx="6">
                  <c:v>4358.8999999999996</c:v>
                </c:pt>
                <c:pt idx="7">
                  <c:v>4045.3999999999996</c:v>
                </c:pt>
                <c:pt idx="8">
                  <c:v>3464.5</c:v>
                </c:pt>
                <c:pt idx="9">
                  <c:v>3532.3999999999987</c:v>
                </c:pt>
                <c:pt idx="10">
                  <c:v>3756.7999999999888</c:v>
                </c:pt>
                <c:pt idx="11">
                  <c:v>4263.6000000000004</c:v>
                </c:pt>
                <c:pt idx="12">
                  <c:v>4410.7999999999993</c:v>
                </c:pt>
                <c:pt idx="13">
                  <c:v>3527.1</c:v>
                </c:pt>
                <c:pt idx="14">
                  <c:v>3531</c:v>
                </c:pt>
                <c:pt idx="15">
                  <c:v>3823.5</c:v>
                </c:pt>
                <c:pt idx="16">
                  <c:v>3421.1</c:v>
                </c:pt>
                <c:pt idx="17">
                  <c:v>3481.4</c:v>
                </c:pt>
              </c:numCache>
            </c:numRef>
          </c:yVal>
          <c:smooth val="0"/>
          <c:extLst>
            <c:ext xmlns:c16="http://schemas.microsoft.com/office/drawing/2014/chart" uri="{C3380CC4-5D6E-409C-BE32-E72D297353CC}">
              <c16:uniqueId val="{00000001-AB6E-46B6-85CD-346BF7EB8755}"/>
            </c:ext>
          </c:extLst>
        </c:ser>
        <c:dLbls>
          <c:showLegendKey val="0"/>
          <c:showVal val="0"/>
          <c:showCatName val="0"/>
          <c:showSerName val="0"/>
          <c:showPercent val="0"/>
          <c:showBubbleSize val="0"/>
        </c:dLbls>
        <c:axId val="379293296"/>
        <c:axId val="379291376"/>
      </c:scatterChart>
      <c:valAx>
        <c:axId val="379293296"/>
        <c:scaling>
          <c:orientation val="minMax"/>
          <c:min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Estimated Total imports (maf)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291376"/>
        <c:crosses val="autoZero"/>
        <c:crossBetween val="midCat"/>
      </c:valAx>
      <c:valAx>
        <c:axId val="379291376"/>
        <c:scaling>
          <c:orientation val="minMax"/>
          <c:max val="5000"/>
          <c:min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Actual Total imports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293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2002-2007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1"/>
            <c:dispEq val="0"/>
            <c:trendlineLbl>
              <c:layout>
                <c:manualLayout>
                  <c:x val="0.11537289822882049"/>
                  <c:y val="-0.28402943746486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'SWP-WY'!$F$3:$F$8</c:f>
              <c:numCache>
                <c:formatCode>0.00</c:formatCode>
                <c:ptCount val="6"/>
                <c:pt idx="0">
                  <c:v>0.469444444444444</c:v>
                </c:pt>
                <c:pt idx="1">
                  <c:v>0.54722222222222205</c:v>
                </c:pt>
                <c:pt idx="2">
                  <c:v>0.55833333333333302</c:v>
                </c:pt>
                <c:pt idx="3">
                  <c:v>0.70833333333333304</c:v>
                </c:pt>
                <c:pt idx="4">
                  <c:v>0.88888888888888895</c:v>
                </c:pt>
                <c:pt idx="5">
                  <c:v>0.53611111111111098</c:v>
                </c:pt>
              </c:numCache>
            </c:numRef>
          </c:xVal>
          <c:yVal>
            <c:numRef>
              <c:f>'SWP-WY'!$D$3:$D$8</c:f>
              <c:numCache>
                <c:formatCode>General</c:formatCode>
                <c:ptCount val="6"/>
                <c:pt idx="0">
                  <c:v>1533.5</c:v>
                </c:pt>
                <c:pt idx="1">
                  <c:v>1712.8999999999901</c:v>
                </c:pt>
                <c:pt idx="2">
                  <c:v>1836.19999999999</c:v>
                </c:pt>
                <c:pt idx="3">
                  <c:v>1528.5</c:v>
                </c:pt>
                <c:pt idx="4">
                  <c:v>1469.7</c:v>
                </c:pt>
                <c:pt idx="5">
                  <c:v>1596.4</c:v>
                </c:pt>
              </c:numCache>
            </c:numRef>
          </c:yVal>
          <c:smooth val="0"/>
          <c:extLst>
            <c:ext xmlns:c16="http://schemas.microsoft.com/office/drawing/2014/chart" uri="{C3380CC4-5D6E-409C-BE32-E72D297353CC}">
              <c16:uniqueId val="{00000001-C692-4454-8D81-C29DEAB796CE}"/>
            </c:ext>
          </c:extLst>
        </c:ser>
        <c:dLbls>
          <c:showLegendKey val="0"/>
          <c:showVal val="0"/>
          <c:showCatName val="0"/>
          <c:showSerName val="0"/>
          <c:showPercent val="0"/>
          <c:showBubbleSize val="0"/>
        </c:dLbls>
        <c:axId val="1187233583"/>
        <c:axId val="1187223503"/>
      </c:scatterChart>
      <c:valAx>
        <c:axId val="11872335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nasins)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23503"/>
        <c:crosses val="autoZero"/>
        <c:crossBetween val="midCat"/>
      </c:valAx>
      <c:valAx>
        <c:axId val="1187223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3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2008-2020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0.11537289822882049"/>
                  <c:y val="-0.28402943746486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'SWP-WY'!$F$9:$F$20</c:f>
              <c:numCache>
                <c:formatCode>0.00</c:formatCode>
                <c:ptCount val="12"/>
                <c:pt idx="0">
                  <c:v>0.26944444444444399</c:v>
                </c:pt>
                <c:pt idx="1">
                  <c:v>0.20555555555555499</c:v>
                </c:pt>
                <c:pt idx="2">
                  <c:v>0.469444444444444</c:v>
                </c:pt>
                <c:pt idx="3">
                  <c:v>0.86944444444444402</c:v>
                </c:pt>
                <c:pt idx="4">
                  <c:v>0.59722222222222199</c:v>
                </c:pt>
                <c:pt idx="5">
                  <c:v>0.38333333333333303</c:v>
                </c:pt>
                <c:pt idx="6">
                  <c:v>0.105555555555555</c:v>
                </c:pt>
                <c:pt idx="7">
                  <c:v>6.3888888888888801E-2</c:v>
                </c:pt>
                <c:pt idx="8">
                  <c:v>0.22222222222222199</c:v>
                </c:pt>
                <c:pt idx="9">
                  <c:v>0.52777777777777701</c:v>
                </c:pt>
                <c:pt idx="10">
                  <c:v>0.72499999999999998</c:v>
                </c:pt>
                <c:pt idx="11">
                  <c:v>0.50833333333333297</c:v>
                </c:pt>
              </c:numCache>
            </c:numRef>
          </c:xVal>
          <c:yVal>
            <c:numRef>
              <c:f>'SWP-WY'!$D$9:$D$20</c:f>
              <c:numCache>
                <c:formatCode>General</c:formatCode>
                <c:ptCount val="12"/>
                <c:pt idx="0">
                  <c:v>1269.2</c:v>
                </c:pt>
                <c:pt idx="1">
                  <c:v>985.7</c:v>
                </c:pt>
                <c:pt idx="2">
                  <c:v>826.9</c:v>
                </c:pt>
                <c:pt idx="3">
                  <c:v>900.69999999999902</c:v>
                </c:pt>
                <c:pt idx="4">
                  <c:v>1170.3999999999901</c:v>
                </c:pt>
                <c:pt idx="5">
                  <c:v>1060.8</c:v>
                </c:pt>
                <c:pt idx="6">
                  <c:v>642.9</c:v>
                </c:pt>
                <c:pt idx="7">
                  <c:v>456.4</c:v>
                </c:pt>
                <c:pt idx="8">
                  <c:v>917.3</c:v>
                </c:pt>
                <c:pt idx="9">
                  <c:v>1042.9000000000001</c:v>
                </c:pt>
                <c:pt idx="10">
                  <c:v>921.5</c:v>
                </c:pt>
                <c:pt idx="11">
                  <c:v>1039.5999999999999</c:v>
                </c:pt>
              </c:numCache>
            </c:numRef>
          </c:yVal>
          <c:smooth val="0"/>
          <c:extLst>
            <c:ext xmlns:c16="http://schemas.microsoft.com/office/drawing/2014/chart" uri="{C3380CC4-5D6E-409C-BE32-E72D297353CC}">
              <c16:uniqueId val="{00000001-680B-4113-826B-4C7ABA52B6FE}"/>
            </c:ext>
          </c:extLst>
        </c:ser>
        <c:dLbls>
          <c:showLegendKey val="0"/>
          <c:showVal val="0"/>
          <c:showCatName val="0"/>
          <c:showSerName val="0"/>
          <c:showPercent val="0"/>
          <c:showBubbleSize val="0"/>
        </c:dLbls>
        <c:axId val="1187233583"/>
        <c:axId val="1187223503"/>
      </c:scatterChart>
      <c:valAx>
        <c:axId val="11872335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nasins)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23503"/>
        <c:crosses val="autoZero"/>
        <c:crossBetween val="midCat"/>
      </c:valAx>
      <c:valAx>
        <c:axId val="1187223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3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2C76-4624-8A2B-5E7CACA770D4}"/>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Delta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groundwater!$H$4</c:f>
              <c:strCache>
                <c:ptCount val="1"/>
                <c:pt idx="0">
                  <c:v>SWDI SC</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5.8906605424321856E-2"/>
                  <c:y val="-0.35819079906678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groundwater!$H$5:$H$22</c:f>
              <c:numCache>
                <c:formatCode>0.00</c:formatCode>
                <c:ptCount val="18"/>
                <c:pt idx="0">
                  <c:v>0.69166666666666599</c:v>
                </c:pt>
                <c:pt idx="1">
                  <c:v>0.719444444444444</c:v>
                </c:pt>
                <c:pt idx="2">
                  <c:v>0.59722222222222199</c:v>
                </c:pt>
                <c:pt idx="3">
                  <c:v>0.85833333333333295</c:v>
                </c:pt>
                <c:pt idx="4">
                  <c:v>0.96388888888888902</c:v>
                </c:pt>
                <c:pt idx="5">
                  <c:v>0.82777777777777695</c:v>
                </c:pt>
                <c:pt idx="6">
                  <c:v>0.72222222222222199</c:v>
                </c:pt>
                <c:pt idx="7">
                  <c:v>0.405555555555555</c:v>
                </c:pt>
                <c:pt idx="8">
                  <c:v>0.41666666666666602</c:v>
                </c:pt>
                <c:pt idx="9">
                  <c:v>0.875</c:v>
                </c:pt>
                <c:pt idx="10">
                  <c:v>0.9</c:v>
                </c:pt>
                <c:pt idx="11">
                  <c:v>0.61666666666666603</c:v>
                </c:pt>
                <c:pt idx="12">
                  <c:v>0.35555555555555501</c:v>
                </c:pt>
                <c:pt idx="13">
                  <c:v>6.3888888888888801E-2</c:v>
                </c:pt>
                <c:pt idx="14">
                  <c:v>0.15</c:v>
                </c:pt>
                <c:pt idx="15">
                  <c:v>0.68611111111111101</c:v>
                </c:pt>
                <c:pt idx="16">
                  <c:v>0.81111111111111101</c:v>
                </c:pt>
                <c:pt idx="17">
                  <c:v>0.875</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1376-4F2A-B245-E4B858461B2F}"/>
            </c:ext>
          </c:extLst>
        </c:ser>
        <c:dLbls>
          <c:showLegendKey val="0"/>
          <c:showVal val="0"/>
          <c:showCatName val="0"/>
          <c:showSerName val="0"/>
          <c:showPercent val="0"/>
          <c:showBubbleSize val="0"/>
        </c:dLbls>
        <c:axId val="1034474112"/>
        <c:axId val="1034474592"/>
      </c:scatterChart>
      <c:valAx>
        <c:axId val="103447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SC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592"/>
        <c:crosses val="autoZero"/>
        <c:crossBetween val="midCat"/>
      </c:valAx>
      <c:valAx>
        <c:axId val="10344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5.8906605424321856E-2"/>
                  <c:y val="-0.35819079906678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0.00</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4AA7-4B45-9B26-9958E3D772B8}"/>
            </c:ext>
          </c:extLst>
        </c:ser>
        <c:dLbls>
          <c:showLegendKey val="0"/>
          <c:showVal val="0"/>
          <c:showCatName val="0"/>
          <c:showSerName val="0"/>
          <c:showPercent val="0"/>
          <c:showBubbleSize val="0"/>
        </c:dLbls>
        <c:axId val="1034474112"/>
        <c:axId val="1034474592"/>
      </c:scatterChart>
      <c:valAx>
        <c:axId val="103447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592"/>
        <c:crosses val="autoZero"/>
        <c:crossBetween val="midCat"/>
      </c:valAx>
      <c:valAx>
        <c:axId val="10344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70C3-46F8-A085-62E13FB7AAD1}"/>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'imports-WY'!$D$2</c:f>
              <c:strCache>
                <c:ptCount val="1"/>
                <c:pt idx="0">
                  <c:v>SWP</c:v>
                </c:pt>
              </c:strCache>
            </c:strRef>
          </c:tx>
          <c:spPr>
            <a:solidFill>
              <a:schemeClr val="accent2"/>
            </a:solidFill>
            <a:ln>
              <a:noFill/>
            </a:ln>
            <a:effectLst/>
          </c:spPr>
          <c:invertIfNegative val="0"/>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A131-4B28-88B0-F935C3AE9D28}"/>
            </c:ext>
          </c:extLst>
        </c:ser>
        <c:dLbls>
          <c:showLegendKey val="0"/>
          <c:showVal val="0"/>
          <c:showCatName val="0"/>
          <c:showSerName val="0"/>
          <c:showPercent val="0"/>
          <c:showBubbleSize val="0"/>
        </c:dLbls>
        <c:gapWidth val="219"/>
        <c:axId val="1756152192"/>
        <c:axId val="1756160832"/>
      </c:barChart>
      <c:lineChart>
        <c:grouping val="standard"/>
        <c:varyColors val="0"/>
        <c:ser>
          <c:idx val="4"/>
          <c:order val="2"/>
          <c:tx>
            <c:v>Post-2007 Average</c:v>
          </c:tx>
          <c:spPr>
            <a:ln w="28575" cap="rnd">
              <a:solidFill>
                <a:schemeClr val="accent5"/>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'imports-WY'!$N$3:$N$20</c:f>
              <c:numCache>
                <c:formatCode>General</c:formatCode>
                <c:ptCount val="18"/>
                <c:pt idx="6">
                  <c:v>936.1916666666657</c:v>
                </c:pt>
                <c:pt idx="7">
                  <c:v>936.1916666666657</c:v>
                </c:pt>
                <c:pt idx="8">
                  <c:v>936.1916666666657</c:v>
                </c:pt>
                <c:pt idx="9">
                  <c:v>936.1916666666657</c:v>
                </c:pt>
                <c:pt idx="10">
                  <c:v>936.1916666666657</c:v>
                </c:pt>
                <c:pt idx="11">
                  <c:v>936.1916666666657</c:v>
                </c:pt>
                <c:pt idx="12">
                  <c:v>936.1916666666657</c:v>
                </c:pt>
                <c:pt idx="13">
                  <c:v>936.1916666666657</c:v>
                </c:pt>
                <c:pt idx="14">
                  <c:v>936.1916666666657</c:v>
                </c:pt>
                <c:pt idx="15">
                  <c:v>936.1916666666657</c:v>
                </c:pt>
                <c:pt idx="16">
                  <c:v>936.1916666666657</c:v>
                </c:pt>
                <c:pt idx="17">
                  <c:v>936.1916666666657</c:v>
                </c:pt>
              </c:numCache>
            </c:numRef>
          </c:val>
          <c:smooth val="0"/>
          <c:extLst>
            <c:ext xmlns:c16="http://schemas.microsoft.com/office/drawing/2014/chart" uri="{C3380CC4-5D6E-409C-BE32-E72D297353CC}">
              <c16:uniqueId val="{00000001-A131-4B28-88B0-F935C3AE9D28}"/>
            </c:ext>
          </c:extLst>
        </c:ser>
        <c:ser>
          <c:idx val="0"/>
          <c:order val="3"/>
          <c:tx>
            <c:v>Pre-2007 Average</c:v>
          </c:tx>
          <c:spPr>
            <a:ln w="28575" cap="rnd">
              <a:solidFill>
                <a:schemeClr val="accent1"/>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'imports-WY'!$M$3:$M$20</c:f>
              <c:numCache>
                <c:formatCode>General</c:formatCode>
                <c:ptCount val="18"/>
                <c:pt idx="0">
                  <c:v>1612.8666666666634</c:v>
                </c:pt>
                <c:pt idx="1">
                  <c:v>1612.8666666666634</c:v>
                </c:pt>
                <c:pt idx="2">
                  <c:v>1612.8666666666634</c:v>
                </c:pt>
                <c:pt idx="3">
                  <c:v>1612.8666666666634</c:v>
                </c:pt>
                <c:pt idx="4">
                  <c:v>1612.8666666666634</c:v>
                </c:pt>
                <c:pt idx="5">
                  <c:v>1612.8666666666634</c:v>
                </c:pt>
              </c:numCache>
            </c:numRef>
          </c:val>
          <c:smooth val="0"/>
          <c:extLst>
            <c:ext xmlns:c16="http://schemas.microsoft.com/office/drawing/2014/chart" uri="{C3380CC4-5D6E-409C-BE32-E72D297353CC}">
              <c16:uniqueId val="{00000002-A131-4B28-88B0-F935C3AE9D28}"/>
            </c:ext>
          </c:extLst>
        </c:ser>
        <c:dLbls>
          <c:showLegendKey val="0"/>
          <c:showVal val="0"/>
          <c:showCatName val="0"/>
          <c:showSerName val="0"/>
          <c:showPercent val="0"/>
          <c:showBubbleSize val="0"/>
        </c:dLbls>
        <c:marker val="1"/>
        <c:smooth val="0"/>
        <c:axId val="1756152192"/>
        <c:axId val="1756160832"/>
      </c:lineChart>
      <c:lineChart>
        <c:grouping val="standard"/>
        <c:varyColors val="0"/>
        <c:ser>
          <c:idx val="2"/>
          <c:order val="1"/>
          <c:tx>
            <c:strRef>
              <c:f>'imports-WY'!$F$2</c:f>
              <c:strCache>
                <c:ptCount val="1"/>
                <c:pt idx="0">
                  <c:v>SWDI delta imports</c:v>
                </c:pt>
              </c:strCache>
            </c:strRef>
          </c:tx>
          <c:spPr>
            <a:ln w="28575" cap="rnd">
              <a:solidFill>
                <a:schemeClr val="accent3"/>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'imports-WY'!$F$3:$F$20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val>
          <c:smooth val="0"/>
          <c:extLst>
            <c:ext xmlns:c16="http://schemas.microsoft.com/office/drawing/2014/chart" uri="{C3380CC4-5D6E-409C-BE32-E72D297353CC}">
              <c16:uniqueId val="{00000003-A131-4B28-88B0-F935C3AE9D28}"/>
            </c:ext>
          </c:extLst>
        </c:ser>
        <c:dLbls>
          <c:showLegendKey val="0"/>
          <c:showVal val="0"/>
          <c:showCatName val="0"/>
          <c:showSerName val="0"/>
          <c:showPercent val="0"/>
          <c:showBubbleSize val="0"/>
        </c:dLbls>
        <c:marker val="1"/>
        <c:smooth val="0"/>
        <c:axId val="1761084416"/>
        <c:axId val="1761077216"/>
      </c:lineChart>
      <c:catAx>
        <c:axId val="175615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60832"/>
        <c:crosses val="autoZero"/>
        <c:auto val="1"/>
        <c:lblAlgn val="ctr"/>
        <c:lblOffset val="100"/>
        <c:noMultiLvlLbl val="0"/>
      </c:catAx>
      <c:valAx>
        <c:axId val="175616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52192"/>
        <c:crosses val="autoZero"/>
        <c:crossBetween val="between"/>
      </c:valAx>
      <c:valAx>
        <c:axId val="17610772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1084416"/>
        <c:crosses val="max"/>
        <c:crossBetween val="between"/>
      </c:valAx>
      <c:catAx>
        <c:axId val="1761084416"/>
        <c:scaling>
          <c:orientation val="minMax"/>
        </c:scaling>
        <c:delete val="1"/>
        <c:axPos val="b"/>
        <c:numFmt formatCode="General" sourceLinked="1"/>
        <c:majorTickMark val="out"/>
        <c:minorTickMark val="none"/>
        <c:tickLblPos val="nextTo"/>
        <c:crossAx val="17610772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'Colorado WY'!$G$2</c:f>
              <c:strCache>
                <c:ptCount val="1"/>
                <c:pt idx="0">
                  <c:v>SWDI delta</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0.10266455480394732"/>
                  <c:y val="-0.4527109712364492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'Colorado WY'!$G$3:$G$20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'Colorado WY'!$C$3:$C$20</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FEEA-463C-B7F5-E515F7258ED9}"/>
            </c:ext>
          </c:extLst>
        </c:ser>
        <c:dLbls>
          <c:showLegendKey val="0"/>
          <c:showVal val="0"/>
          <c:showCatName val="0"/>
          <c:showSerName val="0"/>
          <c:showPercent val="0"/>
          <c:showBubbleSize val="0"/>
        </c:dLbls>
        <c:axId val="1034474112"/>
        <c:axId val="1034474592"/>
      </c:scatterChart>
      <c:valAx>
        <c:axId val="103447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basin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592"/>
        <c:crosses val="autoZero"/>
        <c:crossBetween val="midCat"/>
      </c:valAx>
      <c:valAx>
        <c:axId val="10344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1"/>
            <c:dispEq val="0"/>
            <c:trendlineLbl>
              <c:layout>
                <c:manualLayout>
                  <c:x val="0.11537289822882049"/>
                  <c:y val="-0.28402943746486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'SWP-WY'!$F$3:$F$20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'SWP-WY'!$D$3:$D$20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yVal>
          <c:smooth val="0"/>
          <c:extLst>
            <c:ext xmlns:c16="http://schemas.microsoft.com/office/drawing/2014/chart" uri="{C3380CC4-5D6E-409C-BE32-E72D297353CC}">
              <c16:uniqueId val="{00000001-9442-40F8-A30C-DCF18E0F5F71}"/>
            </c:ext>
          </c:extLst>
        </c:ser>
        <c:dLbls>
          <c:showLegendKey val="0"/>
          <c:showVal val="0"/>
          <c:showCatName val="0"/>
          <c:showSerName val="0"/>
          <c:showPercent val="0"/>
          <c:showBubbleSize val="0"/>
        </c:dLbls>
        <c:axId val="1187233583"/>
        <c:axId val="1187223503"/>
      </c:scatterChart>
      <c:valAx>
        <c:axId val="11872335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nasins)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23503"/>
        <c:crosses val="autoZero"/>
        <c:crossBetween val="midCat"/>
      </c:valAx>
      <c:valAx>
        <c:axId val="1187223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3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'DV+1'!$F$25</c:f>
              <c:strCache>
                <c:ptCount val="1"/>
                <c:pt idx="0">
                  <c:v>Estimated SWP imports</c:v>
                </c:pt>
              </c:strCache>
            </c:strRef>
          </c:tx>
          <c:spPr>
            <a:solidFill>
              <a:schemeClr val="accent1"/>
            </a:solidFill>
            <a:ln>
              <a:noFill/>
            </a:ln>
            <a:effectLst/>
          </c:spPr>
          <c:invertIfNegative val="0"/>
          <c:cat>
            <c:numRef>
              <c:f>'DV+1'!$E$26:$E$43</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'DV+1'!$F$26:$F$43</c:f>
              <c:numCache>
                <c:formatCode>0</c:formatCode>
                <c:ptCount val="18"/>
                <c:pt idx="0">
                  <c:v>1518.3104569019615</c:v>
                </c:pt>
                <c:pt idx="1">
                  <c:v>1572.4514129412685</c:v>
                </c:pt>
                <c:pt idx="2">
                  <c:v>1579.6920234802569</c:v>
                </c:pt>
                <c:pt idx="3">
                  <c:v>1667.9828191771326</c:v>
                </c:pt>
                <c:pt idx="4">
                  <c:v>1756.8257874847041</c:v>
                </c:pt>
                <c:pt idx="5">
                  <c:v>1565.0964816488545</c:v>
                </c:pt>
                <c:pt idx="6">
                  <c:v>867.85650425617996</c:v>
                </c:pt>
                <c:pt idx="7">
                  <c:v>815.80117179023966</c:v>
                </c:pt>
                <c:pt idx="8">
                  <c:v>985.26804006799898</c:v>
                </c:pt>
                <c:pt idx="9">
                  <c:v>1134.29796995382</c:v>
                </c:pt>
                <c:pt idx="10">
                  <c:v>1040.9971625696116</c:v>
                </c:pt>
                <c:pt idx="11">
                  <c:v>940.67669236413758</c:v>
                </c:pt>
                <c:pt idx="12">
                  <c:v>700.53748819821158</c:v>
                </c:pt>
                <c:pt idx="13">
                  <c:v>624.59004309424085</c:v>
                </c:pt>
                <c:pt idx="14">
                  <c:v>830.46738701899574</c:v>
                </c:pt>
                <c:pt idx="15">
                  <c:v>1011.9986892420484</c:v>
                </c:pt>
                <c:pt idx="16">
                  <c:v>1088.1626125209443</c:v>
                </c:pt>
                <c:pt idx="17">
                  <c:v>1003.3536501980136</c:v>
                </c:pt>
              </c:numCache>
            </c:numRef>
          </c:val>
          <c:extLst>
            <c:ext xmlns:c16="http://schemas.microsoft.com/office/drawing/2014/chart" uri="{C3380CC4-5D6E-409C-BE32-E72D297353CC}">
              <c16:uniqueId val="{00000000-058E-4EB6-BFF8-6853A6F909C0}"/>
            </c:ext>
          </c:extLst>
        </c:ser>
        <c:ser>
          <c:idx val="1"/>
          <c:order val="1"/>
          <c:tx>
            <c:strRef>
              <c:f>'DV+1'!$G$25</c:f>
              <c:strCache>
                <c:ptCount val="1"/>
                <c:pt idx="0">
                  <c:v>Actual SWP imports</c:v>
                </c:pt>
              </c:strCache>
            </c:strRef>
          </c:tx>
          <c:spPr>
            <a:solidFill>
              <a:schemeClr val="accent2"/>
            </a:solidFill>
            <a:ln>
              <a:noFill/>
            </a:ln>
            <a:effectLst/>
          </c:spPr>
          <c:invertIfNegative val="0"/>
          <c:cat>
            <c:numRef>
              <c:f>'DV+1'!$E$26:$E$43</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'DV+1'!$G$26:$G$43</c:f>
              <c:numCache>
                <c:formatCode>0</c:formatCode>
                <c:ptCount val="18"/>
                <c:pt idx="0">
                  <c:v>1533.500000000002</c:v>
                </c:pt>
                <c:pt idx="1">
                  <c:v>1712.8999999999903</c:v>
                </c:pt>
                <c:pt idx="2">
                  <c:v>1836.1999999999919</c:v>
                </c:pt>
                <c:pt idx="3">
                  <c:v>1528.500000000002</c:v>
                </c:pt>
                <c:pt idx="4">
                  <c:v>1469.7000000000007</c:v>
                </c:pt>
                <c:pt idx="5">
                  <c:v>1596.4</c:v>
                </c:pt>
                <c:pt idx="6">
                  <c:v>1269.2000000000012</c:v>
                </c:pt>
                <c:pt idx="7">
                  <c:v>985.7</c:v>
                </c:pt>
                <c:pt idx="8">
                  <c:v>826.90000000000089</c:v>
                </c:pt>
                <c:pt idx="9">
                  <c:v>900.69999999999936</c:v>
                </c:pt>
                <c:pt idx="10">
                  <c:v>1170.3999999999919</c:v>
                </c:pt>
                <c:pt idx="11">
                  <c:v>1060.8000000000002</c:v>
                </c:pt>
                <c:pt idx="12">
                  <c:v>642.90000000000077</c:v>
                </c:pt>
                <c:pt idx="13">
                  <c:v>456.40000000000043</c:v>
                </c:pt>
                <c:pt idx="14">
                  <c:v>917.30000000000018</c:v>
                </c:pt>
                <c:pt idx="15">
                  <c:v>1042.9000000000012</c:v>
                </c:pt>
                <c:pt idx="16">
                  <c:v>921.50000000000136</c:v>
                </c:pt>
                <c:pt idx="17">
                  <c:v>1039.600000000001</c:v>
                </c:pt>
              </c:numCache>
            </c:numRef>
          </c:val>
          <c:extLst>
            <c:ext xmlns:c16="http://schemas.microsoft.com/office/drawing/2014/chart" uri="{C3380CC4-5D6E-409C-BE32-E72D297353CC}">
              <c16:uniqueId val="{00000001-058E-4EB6-BFF8-6853A6F909C0}"/>
            </c:ext>
          </c:extLst>
        </c:ser>
        <c:dLbls>
          <c:showLegendKey val="0"/>
          <c:showVal val="0"/>
          <c:showCatName val="0"/>
          <c:showSerName val="0"/>
          <c:showPercent val="0"/>
          <c:showBubbleSize val="0"/>
        </c:dLbls>
        <c:gapWidth val="219"/>
        <c:overlap val="-27"/>
        <c:axId val="746214543"/>
        <c:axId val="746226063"/>
      </c:barChart>
      <c:catAx>
        <c:axId val="746214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226063"/>
        <c:crosses val="autoZero"/>
        <c:auto val="1"/>
        <c:lblAlgn val="ctr"/>
        <c:lblOffset val="100"/>
        <c:noMultiLvlLbl val="0"/>
      </c:catAx>
      <c:valAx>
        <c:axId val="7462260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214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imports!$G$3:$G$20</c:f>
              <c:numCache>
                <c:formatCode>0.00</c:formatCode>
                <c:ptCount val="18"/>
                <c:pt idx="0">
                  <c:v>0.47222222222222199</c:v>
                </c:pt>
                <c:pt idx="1">
                  <c:v>0.61388888888888804</c:v>
                </c:pt>
                <c:pt idx="2">
                  <c:v>0.452777777777777</c:v>
                </c:pt>
                <c:pt idx="3">
                  <c:v>0.87777777777777699</c:v>
                </c:pt>
                <c:pt idx="4">
                  <c:v>0.85277777777777697</c:v>
                </c:pt>
                <c:pt idx="5">
                  <c:v>0.358333333333333</c:v>
                </c:pt>
                <c:pt idx="6">
                  <c:v>0.35277777777777702</c:v>
                </c:pt>
                <c:pt idx="7">
                  <c:v>0.46111111111111103</c:v>
                </c:pt>
                <c:pt idx="8">
                  <c:v>0.66111111111111098</c:v>
                </c:pt>
                <c:pt idx="9">
                  <c:v>0.83333333333333304</c:v>
                </c:pt>
                <c:pt idx="10">
                  <c:v>0.42777777777777698</c:v>
                </c:pt>
                <c:pt idx="11">
                  <c:v>0.28333333333333299</c:v>
                </c:pt>
                <c:pt idx="12">
                  <c:v>0.11944444444444401</c:v>
                </c:pt>
                <c:pt idx="13">
                  <c:v>6.1111111111110998E-2</c:v>
                </c:pt>
                <c:pt idx="14">
                  <c:v>0.297222222222222</c:v>
                </c:pt>
                <c:pt idx="15">
                  <c:v>0.50277777777777699</c:v>
                </c:pt>
                <c:pt idx="16">
                  <c:v>0.75555555555555498</c:v>
                </c:pt>
                <c:pt idx="17">
                  <c:v>0.52777777777777701</c:v>
                </c:pt>
              </c:numCache>
            </c:numRef>
          </c:xVal>
          <c:yVal>
            <c:numRef>
              <c:f>imports!$B$3:$B$20</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yVal>
          <c:smooth val="0"/>
          <c:extLst>
            <c:ext xmlns:c16="http://schemas.microsoft.com/office/drawing/2014/chart" uri="{C3380CC4-5D6E-409C-BE32-E72D297353CC}">
              <c16:uniqueId val="{00000001-9757-4A49-90C0-49199C6948BB}"/>
            </c:ext>
          </c:extLst>
        </c:ser>
        <c:dLbls>
          <c:showLegendKey val="0"/>
          <c:showVal val="0"/>
          <c:showCatName val="0"/>
          <c:showSerName val="0"/>
          <c:showPercent val="0"/>
          <c:showBubbleSize val="0"/>
        </c:dLbls>
        <c:axId val="1445420832"/>
        <c:axId val="1445414592"/>
      </c:scatterChart>
      <c:valAx>
        <c:axId val="144542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t>Surface Water Drought Indicator (South Lahontan)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14592"/>
        <c:crosses val="autoZero"/>
        <c:crossBetween val="midCat"/>
      </c:valAx>
      <c:valAx>
        <c:axId val="144541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 Aqueduct deliveries</a:t>
                </a:r>
                <a:r>
                  <a:rPr lang="en-US" baseline="0"/>
                  <a:t>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208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Sheet3!$G$24</c:f>
              <c:strCache>
                <c:ptCount val="1"/>
                <c:pt idx="0">
                  <c:v>Estimated LA Aqueduct imports</c:v>
                </c:pt>
              </c:strCache>
            </c:strRef>
          </c:tx>
          <c:spPr>
            <a:solidFill>
              <a:schemeClr val="accent1"/>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Sheet3!$G$25:$G$42</c:f>
              <c:numCache>
                <c:formatCode>General</c:formatCode>
                <c:ptCount val="18"/>
                <c:pt idx="0">
                  <c:v>191.98356276952654</c:v>
                </c:pt>
                <c:pt idx="1">
                  <c:v>248.28889640178761</c:v>
                </c:pt>
                <c:pt idx="2">
                  <c:v>184.25537972196105</c:v>
                </c:pt>
                <c:pt idx="3">
                  <c:v>353.17138061874493</c:v>
                </c:pt>
                <c:pt idx="4">
                  <c:v>343.23514527187535</c:v>
                </c:pt>
                <c:pt idx="5">
                  <c:v>146.71849063378701</c:v>
                </c:pt>
                <c:pt idx="6">
                  <c:v>144.51043833448247</c:v>
                </c:pt>
                <c:pt idx="7">
                  <c:v>187.56745817091786</c:v>
                </c:pt>
                <c:pt idx="8">
                  <c:v>267.05734094587501</c:v>
                </c:pt>
                <c:pt idx="9">
                  <c:v>335.5069622243102</c:v>
                </c:pt>
                <c:pt idx="10">
                  <c:v>174.31914437509138</c:v>
                </c:pt>
                <c:pt idx="11">
                  <c:v>116.90978459317806</c:v>
                </c:pt>
                <c:pt idx="12">
                  <c:v>51.772241763699249</c:v>
                </c:pt>
                <c:pt idx="13">
                  <c:v>28.587692621003544</c:v>
                </c:pt>
                <c:pt idx="14">
                  <c:v>122.42991534143903</c:v>
                </c:pt>
                <c:pt idx="15">
                  <c:v>204.12785041570032</c:v>
                </c:pt>
                <c:pt idx="16">
                  <c:v>304.59423003404902</c:v>
                </c:pt>
                <c:pt idx="17">
                  <c:v>214.06408576256996</c:v>
                </c:pt>
              </c:numCache>
            </c:numRef>
          </c:val>
          <c:extLst>
            <c:ext xmlns:c16="http://schemas.microsoft.com/office/drawing/2014/chart" uri="{C3380CC4-5D6E-409C-BE32-E72D297353CC}">
              <c16:uniqueId val="{00000000-6E8D-46FD-9EAA-858D2B4B00CC}"/>
            </c:ext>
          </c:extLst>
        </c:ser>
        <c:ser>
          <c:idx val="1"/>
          <c:order val="1"/>
          <c:tx>
            <c:strRef>
              <c:f>Sheet3!$H$24</c:f>
              <c:strCache>
                <c:ptCount val="1"/>
                <c:pt idx="0">
                  <c:v>Actual LA Aqueduct imports</c:v>
                </c:pt>
              </c:strCache>
            </c:strRef>
          </c:tx>
          <c:spPr>
            <a:solidFill>
              <a:schemeClr val="accent2"/>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Sheet3!$H$25:$H$42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1-6E8D-46FD-9EAA-858D2B4B00CC}"/>
            </c:ext>
          </c:extLst>
        </c:ser>
        <c:dLbls>
          <c:showLegendKey val="0"/>
          <c:showVal val="0"/>
          <c:showCatName val="0"/>
          <c:showSerName val="0"/>
          <c:showPercent val="0"/>
          <c:showBubbleSize val="0"/>
        </c:dLbls>
        <c:gapWidth val="219"/>
        <c:overlap val="-27"/>
        <c:axId val="467162655"/>
        <c:axId val="467163615"/>
      </c:barChart>
      <c:catAx>
        <c:axId val="46716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3615"/>
        <c:crosses val="autoZero"/>
        <c:auto val="1"/>
        <c:lblAlgn val="ctr"/>
        <c:lblOffset val="100"/>
        <c:noMultiLvlLbl val="0"/>
      </c:catAx>
      <c:valAx>
        <c:axId val="46716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2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5B95-46D1-8066-A451AB6F7FA6}"/>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Delta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9327-4D53-876F-DA8476DF5DA8}"/>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'1 var - GW'!$F$24</c:f>
              <c:strCache>
                <c:ptCount val="1"/>
                <c:pt idx="0">
                  <c:v>Estimated Groundwater imports</c:v>
                </c:pt>
              </c:strCache>
            </c:strRef>
          </c:tx>
          <c:spPr>
            <a:solidFill>
              <a:schemeClr val="accent1"/>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GW'!$F$25:$F$42</c:f>
              <c:numCache>
                <c:formatCode>General</c:formatCode>
                <c:ptCount val="18"/>
                <c:pt idx="0">
                  <c:v>1716.4334476389881</c:v>
                </c:pt>
                <c:pt idx="1">
                  <c:v>1495.3477586044467</c:v>
                </c:pt>
                <c:pt idx="2">
                  <c:v>1598.785708395257</c:v>
                </c:pt>
                <c:pt idx="3">
                  <c:v>1379.3710498911464</c:v>
                </c:pt>
                <c:pt idx="4">
                  <c:v>1436.0742778745366</c:v>
                </c:pt>
                <c:pt idx="5">
                  <c:v>1867.3336554573864</c:v>
                </c:pt>
                <c:pt idx="6">
                  <c:v>1536.2818368944984</c:v>
                </c:pt>
                <c:pt idx="7">
                  <c:v>1598.3144264095672</c:v>
                </c:pt>
                <c:pt idx="8">
                  <c:v>1412.133378048276</c:v>
                </c:pt>
                <c:pt idx="9">
                  <c:v>1393.5363480182486</c:v>
                </c:pt>
                <c:pt idx="10">
                  <c:v>1547.8947954245805</c:v>
                </c:pt>
                <c:pt idx="11">
                  <c:v>1837.8973577154559</c:v>
                </c:pt>
                <c:pt idx="12">
                  <c:v>1897.6209851528788</c:v>
                </c:pt>
                <c:pt idx="13">
                  <c:v>1635.9439813347828</c:v>
                </c:pt>
                <c:pt idx="14">
                  <c:v>1616.2630694875297</c:v>
                </c:pt>
                <c:pt idx="15">
                  <c:v>1558.4587440893811</c:v>
                </c:pt>
                <c:pt idx="16">
                  <c:v>1392.5894089218107</c:v>
                </c:pt>
                <c:pt idx="17">
                  <c:v>1421.0197706412171</c:v>
                </c:pt>
              </c:numCache>
            </c:numRef>
          </c:val>
          <c:extLst>
            <c:ext xmlns:c16="http://schemas.microsoft.com/office/drawing/2014/chart" uri="{C3380CC4-5D6E-409C-BE32-E72D297353CC}">
              <c16:uniqueId val="{00000000-FB5D-4719-A329-00A113BA942C}"/>
            </c:ext>
          </c:extLst>
        </c:ser>
        <c:ser>
          <c:idx val="1"/>
          <c:order val="1"/>
          <c:tx>
            <c:strRef>
              <c:f>'1 var - GW'!$G$24</c:f>
              <c:strCache>
                <c:ptCount val="1"/>
                <c:pt idx="0">
                  <c:v>Actual Groundwater imports</c:v>
                </c:pt>
              </c:strCache>
            </c:strRef>
          </c:tx>
          <c:spPr>
            <a:solidFill>
              <a:schemeClr val="accent2"/>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GW'!$G$25:$G$42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1-FB5D-4719-A329-00A113BA942C}"/>
            </c:ext>
          </c:extLst>
        </c:ser>
        <c:dLbls>
          <c:showLegendKey val="0"/>
          <c:showVal val="0"/>
          <c:showCatName val="0"/>
          <c:showSerName val="0"/>
          <c:showPercent val="0"/>
          <c:showBubbleSize val="0"/>
        </c:dLbls>
        <c:gapWidth val="219"/>
        <c:overlap val="-27"/>
        <c:axId val="760087888"/>
        <c:axId val="1087208448"/>
      </c:barChart>
      <c:catAx>
        <c:axId val="76008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208448"/>
        <c:crosses val="autoZero"/>
        <c:auto val="1"/>
        <c:lblAlgn val="ctr"/>
        <c:lblOffset val="100"/>
        <c:noMultiLvlLbl val="0"/>
      </c:catAx>
      <c:valAx>
        <c:axId val="108720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008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2F55E-8DB5-44F6-8B0C-2FE74CA4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3797</TotalTime>
  <Pages>15</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Armen Konialian</dc:creator>
  <cp:keywords/>
  <dc:description/>
  <cp:lastModifiedBy>Armen Konialian</cp:lastModifiedBy>
  <cp:revision>5</cp:revision>
  <dcterms:created xsi:type="dcterms:W3CDTF">2024-08-28T15:20:00Z</dcterms:created>
  <dcterms:modified xsi:type="dcterms:W3CDTF">2024-09-11T23:31:00Z</dcterms:modified>
</cp:coreProperties>
</file>