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icrosoft YaHei" w:hAnsi="Microsoft YaHei" w:eastAsia="Microsoft YaHei"/>
          <w:b/>
          <w:i w:val="0"/>
          <w:sz w:val="48"/>
        </w:rPr>
        <w:t>BAHBench 可复现性研究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sz w:val="28"/>
        </w:rPr>
        <w:t>论文版 Transformer 与 LoRA 秩消融实验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5A5A5A"/>
          <w:sz w:val="24"/>
        </w:rPr>
        <w:t>复现实验论文</w:t>
      </w:r>
    </w:p>
    <w:p>
      <w:pPr>
        <w:spacing w:before="600"/>
        <w:jc w:val="center"/>
      </w:pPr>
      <w:r>
        <w:rPr>
          <w:rFonts w:ascii="Microsoft YaHei" w:hAnsi="Microsoft YaHei" w:eastAsia="Microsoft YaHei"/>
          <w:b w:val="0"/>
          <w:i w:val="0"/>
          <w:color w:val="5A5A5A"/>
          <w:sz w:val="20"/>
        </w:rPr>
        <w:t>基于 AutoDL RTX 3090 的 ICBHI、TORGO 与 SEP-28k 复现实验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787878"/>
          <w:sz w:val="18"/>
        </w:rPr>
        <w:t>代码版本：BAHBench_我的复现实验代码_20260921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摘要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本文复现 BAHBench 论文中可运行的核心实验，重点考察统一 Transformer 下游结构和 LoRA 秩消融。复现实现冻结 HuBERT-base、wav2vec2-base 和 wav2vec2-large 编码器，将音频表示投影到 768 维，并通过单层标准 Transformer 与线性分类头完成分类。实验在 ICBHI、TORGO 和 SEP-28k 三个任务上进行，统一报告 WA、UA 和 WF1。论文版 Transformer 结果显示，TORGO 与论文结果最接近，HuBERT-base 的 WF1 为 0.9606；ICBHI 仍存在明显的多数类偏置；SEP-28k 的 WA/WF1 接近论文，但 UA 偏低。LoRA 秩扫描表明最佳秩随任务变化：ICBHI 的最佳秩为 r=2，TORGO 和 SEP-28k 的最佳秩为 r=16，说明 r=16 不是跨任务的普适最优值。本文同时提供代码编号、运行脚本、SHA256 校验和输出路径，以提高复现透明度。由于当前数据版本、官方 split 和样本量尚未完全对齐，本文的数值结论均按近似复现处理。</w:t>
      </w:r>
    </w:p>
    <w:p>
      <w:pPr>
        <w:spacing w:after="100"/>
        <w:jc w:val="both"/>
      </w:pPr>
      <w:r>
        <w:rPr>
          <w:rFonts w:ascii="Microsoft YaHei" w:hAnsi="Microsoft YaHei" w:eastAsia="Microsoft YaHei"/>
          <w:b/>
          <w:i w:val="0"/>
          <w:sz w:val="20"/>
        </w:rPr>
        <w:t>关键词：BAHBench；声学基础模型；Transformer；LoRA；可复现性；WA/UA/WF1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1 引言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BAHBench 将 Snore、ICBHI、MSTI、TORGO、SEP-28k 和 FluSense 六个健康相关音频任务放入统一下游框架，比较 12 个声学基础模型和两类手工特征。[1] 论文的核心价值在于统一数据划分、下游结构和评价指标，从而减少不同研究之间的协议差异。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本文聚焦当前已经具备可运行数据的三个任务：ICBHI、TORGO 和 SEP-28k。复现目标是验证论文的统一 Transformer 结构、比较 HuBERT 与 wav2vec2 系列模型，并分析 LoRA 秩对下游性能的影响。线性探针结果不纳入本文主实验，以免混淆论文主结构与辅助性线性分析。Code C1-C9 给出本文使用的全部复现代码。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2 方法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i w:val="0"/>
          <w:sz w:val="24"/>
        </w:rPr>
        <w:t>2.1 统一 Transformer 下游结构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基础模型权重被冻结，仅更新投影层、单层标准 Transformer 和分类头。[C1] 对输入音频 x，基础模型输出 h=f(x)，投影层将 h 映射到 d=768，Transformer 输出再送入分类器：</w:t>
      </w:r>
    </w:p>
    <w:p>
      <w:pPr>
        <w:spacing w:after="100"/>
        <w:jc w:val="center"/>
      </w:pPr>
      <w:r>
        <w:rPr>
          <w:rFonts w:ascii="Microsoft YaHei" w:hAnsi="Microsoft YaHei" w:eastAsia="Microsoft YaHei"/>
          <w:b/>
          <w:i w:val="0"/>
          <w:sz w:val="20"/>
        </w:rPr>
        <w:t>h_tilde = Transformer(Projection(h)); p = Classifier(h_tilde[0])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代码实现见 src/paper_transformer.py 中的 PaperTransformer 类 [C1]。下游只使用一层 TransformerEncoderLayer，不以多层堆叠替代论文结构。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i w:val="0"/>
          <w:sz w:val="24"/>
        </w:rPr>
        <w:t>2.2 LoRA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LoRA 将原始线性权重 W 冻结，仅训练低秩增量 BA，前向为 Wx+BAx。[C2] 本文把 LoRA 插入注意力 Q/K/V 投影，B 初始化为零，因此训练起点与原始模型一致。秩扫描范围为 r=2、4、8、16。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i w:val="0"/>
          <w:sz w:val="24"/>
        </w:rPr>
        <w:t>2.3 数据与评价指标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代码统一读取 16 kHz 音频 [C3]，评价指标按论文定义计算 WA、UA 和 WF1 [C4]。当前复现使用固定随机种子 0 的 70%/15%/15% 分层 split；论文使用各数据集固定 split。两者差异在结果解释中明确标注。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i w:val="0"/>
          <w:sz w:val="24"/>
        </w:rPr>
        <w:t>2.4 目标对比点与复现判定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为了让读者不只看模型分数，本文把论文目标、对比对象、判定标准和证据来源逐项列出。完整机器可读版本见 TARGET_COMPARISON.csv [C12]，复现步骤见 REPRODUCIBILITY_CHECKLIST.md [C11]。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c>
          <w:tcPr>
            <w:tcW w:type="dxa" w:w="2088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论文目标/结论</w:t>
            </w:r>
          </w:p>
        </w:tc>
        <w:tc>
          <w:tcPr>
            <w:tcW w:type="dxa" w:w="1296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复现状态</w:t>
            </w:r>
          </w:p>
        </w:tc>
        <w:tc>
          <w:tcPr>
            <w:tcW w:type="dxa" w:w="2304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目标对比点</w:t>
            </w:r>
          </w:p>
        </w:tc>
        <w:tc>
          <w:tcPr>
            <w:tcW w:type="dxa" w:w="216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判定标准</w:t>
            </w:r>
          </w:p>
        </w:tc>
        <w:tc>
          <w:tcPr>
            <w:tcW w:type="dxa" w:w="216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当前证据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基础模型特征优于手工特征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未复现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模型 WF1 vs eGeMAPS/ComParE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模型 WF1 高于手工特征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待补手工特征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声学任务偏低层、语义任务偏高层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未完整复现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不同 layer 的 WF1 峰值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12 层模型：最佳层≤6 判为低中层，≥7 判为高层，峰谷差距&lt;1pp 判为无偏好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C1、LAYER_SWEEP.md；需运行 04_layer_sweep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base 不一定优于 large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部分复现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wav2vec2-base vs wav2vec2-large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large 不必然更高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表 2、图 2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预训练领域比规模关键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未复现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OPERA-CT/WavLM vs 通用大模型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领域模型少参数反超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待补模型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LoRA 有效且秩增长后收益饱和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部分/趋势复现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r=2,4,8,16 的 WF1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最佳秩后趋稳或下降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图 4、图 5、表 3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不平衡时 WA 与 UA 分岔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已复现趋势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WA-UA 差距与少数类召回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WA 高而 UA 低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图 3、图 6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论文表 III 严格数值复现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未完成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当前结果 vs 论文同模型值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协议一致且差异约 ±2pp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图 3、表 2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六任务统一评估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未完成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6 个任务的完整指标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六任务均有完整结果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图 1</w:t>
            </w:r>
          </w:p>
        </w:tc>
      </w:tr>
    </w:tbl>
    <w:p>
      <w:pPr>
        <w:spacing w:after="0"/>
      </w:pP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层选择的实际做法是：以 HuBERT-base 的 12 层为例，hidden_states 的 0 表示卷积前端，1-6 表示低层/中层，7-12 表示高层。保持模型、任务、split、seed 和下游 Transformer 完全一致，只改变 --layer，先跑 1,4,7,10,12 层。若最佳 WF1 出现在 1-6 层，则支持声学类任务偏好低中层；若出现在 7-12 层，则支持语义类任务偏好高层；若与最后一层差距小于 1 个百分点，则不能声称存在稳定层偏好。当前主实验默认使用最后一层，因此逐层结论尚未完成。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他人复现本论文时，需要同时满足：获得对应数据集和 manifest、安装 environment.md 中的依赖、按 run.sh 执行实验，并使用 TARGET_COMPARISON.csv 的判定标准检查输出。当前代码包可以验证代码链路，但数据版本、官方 split 和完整模型矩阵仍是数值复现的前提。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3 实验设置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80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项目</w:t>
            </w:r>
          </w:p>
        </w:tc>
        <w:tc>
          <w:tcPr>
            <w:tcW w:type="dxa" w:w="8208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设置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基础模型</w:t>
            </w:r>
          </w:p>
        </w:tc>
        <w:tc>
          <w:tcPr>
            <w:tcW w:type="dxa" w:w="82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facebook/hubert-base-ls960；facebook/wav2vec2-base；facebook/wav2vec2-large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任务</w:t>
            </w:r>
          </w:p>
        </w:tc>
        <w:tc>
          <w:tcPr>
            <w:tcW w:type="dxa" w:w="82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ICBHI（8 类）；TORGO（2 类）；SEP-28k（2 类）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下游结构</w:t>
            </w:r>
          </w:p>
        </w:tc>
        <w:tc>
          <w:tcPr>
            <w:tcW w:type="dxa" w:w="82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投影到 768 维；单层 Transformer；nhead=8；dim_feedforward=3072；dropout=0.5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训练</w:t>
            </w:r>
          </w:p>
        </w:tc>
        <w:tc>
          <w:tcPr>
            <w:tcW w:type="dxa" w:w="82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batch=32；epochs=50；AdamW；lr=5e-4；weight_decay=1e-2；seed=0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LoRA</w:t>
            </w:r>
          </w:p>
        </w:tc>
        <w:tc>
          <w:tcPr>
            <w:tcW w:type="dxa" w:w="82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Q/K/V；r=2,4,8,16；B 初始化为 0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指标</w:t>
            </w:r>
          </w:p>
        </w:tc>
        <w:tc>
          <w:tcPr>
            <w:tcW w:type="dxa" w:w="82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WA、UA、WF1；并保存测试集 y_true/y_pred</w:t>
            </w:r>
          </w:p>
        </w:tc>
      </w:tr>
    </w:tbl>
    <w:p>
      <w:pPr>
        <w:spacing w:after="0"/>
      </w:pP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080760" cy="32300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readin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30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i w:val="0"/>
          <w:color w:val="505050"/>
          <w:sz w:val="16"/>
        </w:rPr>
        <w:t>图 1  六任务数据就绪度：论文数据量、标签和 split 与当前数据的覆盖差异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4 复现结果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i w:val="0"/>
          <w:sz w:val="24"/>
        </w:rPr>
        <w:t>4.1 论文版 Transformer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05"/>
        <w:gridCol w:w="1405"/>
        <w:gridCol w:w="1405"/>
        <w:gridCol w:w="1405"/>
        <w:gridCol w:w="1405"/>
        <w:gridCol w:w="1405"/>
        <w:gridCol w:w="1405"/>
      </w:tblGrid>
      <w:tr>
        <w:tc>
          <w:tcPr>
            <w:tcW w:type="dxa" w:w="2016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任务 / 模型</w:t>
            </w:r>
          </w:p>
        </w:tc>
        <w:tc>
          <w:tcPr>
            <w:tcW w:type="dxa" w:w="1008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WA</w:t>
            </w:r>
          </w:p>
        </w:tc>
        <w:tc>
          <w:tcPr>
            <w:tcW w:type="dxa" w:w="1008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UA</w:t>
            </w:r>
          </w:p>
        </w:tc>
        <w:tc>
          <w:tcPr>
            <w:tcW w:type="dxa" w:w="1008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WF1</w:t>
            </w:r>
          </w:p>
        </w:tc>
        <w:tc>
          <w:tcPr>
            <w:tcW w:type="dxa" w:w="1944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论文 WA/UA/WF1</w:t>
            </w:r>
          </w:p>
        </w:tc>
        <w:tc>
          <w:tcPr>
            <w:tcW w:type="dxa" w:w="108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ΔWF1</w:t>
            </w:r>
          </w:p>
        </w:tc>
        <w:tc>
          <w:tcPr>
            <w:tcW w:type="dxa" w:w="1656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标注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ICBHI / HuBERT-base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0.8472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0.2241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0.8281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0.924/0.326/0.930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-10.19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低于论文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ICBHI / wav2vec2-base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0.8750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0.3223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0.8682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0.911/0.240/0.903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-3.48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低于论文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ICBHI / wav2vec2-large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0.8333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0.1250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0.7576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0.916/0.200/0.876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-11.84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低于论文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TORGO / HuBERT-base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0.9608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0.9509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0.9606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0.979/0.976/0.979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-1.84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接近论文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TORGO / wav2vec2-base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0.9408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0.9399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0.9412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0.902/0.887/0.901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+4.02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高于论文但口径不同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TORGO / wav2vec2-large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0.8934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0.8830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0.8940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0.858/0.841/0.857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+3.70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高于论文但口径不同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SEP-28k / HuBERT-base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0.7481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0.6283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0.7344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0.747/0.740/0.747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-1.26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接近论文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SEP-28k / wav2vec2-base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0.7262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0.6088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0.7149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0.692/0.693/0.693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+2.19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高于论文但口径不同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SEP-28k / wav2vec2-large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0.7413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0.5000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0.6312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0.732/0.710/0.724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-9.28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低于论文</w:t>
            </w:r>
          </w:p>
        </w:tc>
      </w:tr>
    </w:tbl>
    <w:p>
      <w:pPr>
        <w:spacing w:after="0"/>
      </w:pP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172200" cy="22144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frozen_by_tas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14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i w:val="0"/>
          <w:color w:val="505050"/>
          <w:sz w:val="16"/>
        </w:rPr>
        <w:t>图 2  论文版 Transformer 在三个任务上的 WA、UA、WF1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i w:val="0"/>
          <w:sz w:val="24"/>
        </w:rPr>
        <w:t>4.2 与论文表 III 的差异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图 3 给出当前结果与论文表 III 的 ΔWF1。TORGO 的 HuBERT-base 与论文差距最小；ICBHI 的 wav2vec2-large 低于论文 11.84 个百分点；SEP-28k 的 wav2vec2-large 低于论文 9.28 个百分点，且 UA 为 0.5000，说明模型退化为多数类预测。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074920" cy="27006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wf1_gap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700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i w:val="0"/>
          <w:color w:val="505050"/>
          <w:sz w:val="16"/>
        </w:rPr>
        <w:t>图 3  当前论文版 Transformer 相对论文表 III 的 ΔWF1 热力图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i w:val="0"/>
          <w:sz w:val="24"/>
        </w:rPr>
        <w:t>4.3 LoRA 秩扫描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88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任务 / 秩</w:t>
            </w:r>
          </w:p>
        </w:tc>
        <w:tc>
          <w:tcPr>
            <w:tcW w:type="dxa" w:w="144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WA</w:t>
            </w:r>
          </w:p>
        </w:tc>
        <w:tc>
          <w:tcPr>
            <w:tcW w:type="dxa" w:w="144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UA</w:t>
            </w:r>
          </w:p>
        </w:tc>
        <w:tc>
          <w:tcPr>
            <w:tcW w:type="dxa" w:w="144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WF1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ICBHI / r=2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0.8889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0.3952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0.8890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ICBHI / r=4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0.8333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0.3631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0.8502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ICBHI / r=8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0.8750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0.3055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0.8603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ICBHI / r=16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0.8750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0.3560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0.8698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TORGO / r=2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0.9882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0.9870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0.9882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TORGO / r=4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0.9874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0.9858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0.9874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TORGO / r=8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0.9889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0.9863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0.9889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TORGO / r=16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0.9911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0.9898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0.9911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SEP-28k / r=2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0.7844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0.6833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0.7751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SEP-28k / r=4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0.7905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0.6664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0.7730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SEP-28k / r=8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0.7920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0.6979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0.7844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SEP-28k / r=16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0.8011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0.7002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0.7911</w:t>
            </w:r>
          </w:p>
        </w:tc>
      </w:tr>
    </w:tbl>
    <w:p>
      <w:pPr>
        <w:spacing w:after="0"/>
      </w:pP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172200" cy="22152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lora_rank_curv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15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i w:val="0"/>
          <w:color w:val="505050"/>
          <w:sz w:val="16"/>
        </w:rPr>
        <w:t>图 4  论文版 Transformer 下的 LoRA 秩扫描曲线；圆点标出 WF1 最佳值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394960" cy="29161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lora_best_vs_pap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16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i w:val="0"/>
          <w:color w:val="505050"/>
          <w:sz w:val="16"/>
        </w:rPr>
        <w:t>图 5  三个任务的最佳 LoRA WF1 与论文 HuBERT-base 对比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LoRA 结果呈现明显任务依赖：ICBHI 最佳 r=2，WF1=0.8890；TORGO 最佳 r=16，WF1=0.9911；SEP-28k 最佳 r=16，WF1=0.7911。该结果说明秩饱和阈值不是固定常数。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i w:val="0"/>
          <w:sz w:val="24"/>
        </w:rPr>
        <w:t>4.4 混淆矩阵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图 6 给出三个任务和三个模型的归一化混淆矩阵。ICBHI 的非对角误差集中在少数类；TORGO 的对角线接近饱和；SEP-28k 的少数类召回率较低。混淆矩阵由同一测试集预测生成，ICBHI 使用保存的 y_true/y_pred，TORGO 与 SEP-28k 由二分类 per-class 指标精确还原。[C6]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217920" cy="54650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gri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465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i w:val="0"/>
          <w:color w:val="505050"/>
          <w:sz w:val="16"/>
        </w:rPr>
        <w:t>图 6  ICBHI、TORGO、SEP-28k 的归一化混淆矩阵网格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5 讨论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本文复现支持论文的若干方向性结论。第一，领域相关的 TORGO 任务中 HuBERT-base 已接近论文水平；第二，ICBHI 的 WA 与 UA 分岔重现了类不平衡问题；第三，LoRA 的最佳秩随任务变化，支持“秩不是固定越大越好”的结论；第四，SEP-28k 的结果表明 WF1 提高并不必然伴随少数类召回提升。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但仍存在明显的协议差异。当前代码使用固定 seed 的分层 split，而论文使用各数据集官方或论文固定 split；ICBHI 当前测试集为 144 条，论文为 381 条；TORGO 当前为 8,990 条，论文为 8,216 条；SEP-28k 当前只有 8,800 条，论文约 27,922 条。此外，当前音频被截断到 6 秒，论文未明确采用同样处理。因此本文结果主要用于机制和趋势比较，不能视为严格数值复现。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6 复现实验代码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108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代码编号</w:t>
            </w:r>
          </w:p>
        </w:tc>
        <w:tc>
          <w:tcPr>
            <w:tcW w:type="dxa" w:w="3096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文件</w:t>
            </w:r>
          </w:p>
        </w:tc>
        <w:tc>
          <w:tcPr>
            <w:tcW w:type="dxa" w:w="5832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作用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C1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src/paper_transformer.py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论文版 Transformer、frozen/LoRA/full、预测保存、官方 layer 选择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C2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src/lora.py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LoRALinear、Q/K/V 注入、B 零初始化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C3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src/common.py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16 kHz 音频读取、manifest、split_by_label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C4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src/metrics.py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WA/UA/WF1 计算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C5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src/plot_rank_sweep.py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LoRA 秩曲线和 WF1 汇总图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C6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src/make_confusion_matrices.py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二分类/多分类混淆矩阵和网格图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C7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experiments/01_paper_transformer/run.sh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三模型 × 三任务 Transformer 复现命令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C8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experiments/02_lora_rank_sweep/run.sh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LoRA r=2,4,8,16 复现命令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C9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experiments/03_confusion_matrices/run.sh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混淆矩阵复现命令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C10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CODE_MANIFEST.sha256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代码文件 SHA256 校验清单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C11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REPRODUCIBILITY_CHECKLIST.md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环境、数据、运行和产物检查清单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C12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TARGET_COMPARISON.csv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论文目标、对比点、判定标准和证据映射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C13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experiments/04_layer_sweep/run.sh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逐层特征选择实验命令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C14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LAYER_SWEEP.md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层选择判定规则和当前状态</w:t>
            </w:r>
          </w:p>
        </w:tc>
      </w:tr>
    </w:tbl>
    <w:p>
      <w:pPr>
        <w:spacing w:after="0"/>
      </w:pP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补充复现清单：REPRODUCIBILITY_CHECKLIST.md [C11]；目标对比点：TARGET_COMPARISON.csv [C12]。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完整代码包和结果摘要位于桌面 BAHBench_我的复现实验代码 目录，压缩包为 BAHBench_我的复现实验代码_20260921.zip。线性探针代码和结果未纳入本文主实验，已移入旧版归档。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7 局限与未来工作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• 未获得 BAHBench 作者公开代码，本文代码为按论文描述自主实现。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• ICBHI、TORGO、SEP-28k 的数据版本和 split 尚不完全一致，数值只能近似比较。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• 当前只覆盖 HuBERT-base、wav2vec2-base、wav2vec2-large，未覆盖论文其余 9 个模型配置。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• 未实现真正 eGeMAPS 88 维和 ComParE-2016 6373 维。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• 未完成 OPERA-CT 的 64 Mel、64 ms 窗、32 ms 帧移前端。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• 当前为单随机种子结果，未来应报告 mean±std 和 per-class 置信区间。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• Snore、MSTI、FluSense 因数据或标签缺失尚未完成。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8 结论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本文给出了 BAHBench 论文版 Transformer 和 LoRA 秩扫描的可运行复现实验。代码层面已通过 frozen 与 LoRA 冒烟测试，实验结果复现了任务难度、类别不平衡和 LoRA 秩饱和的主要趋势。最接近论文的是 TORGO，ICBHI 仍有明显差距，SEP-28k 受数据完整性限制。本文提供了代码编号、配置、运行脚本、哈希校验和可视化结果，可作为后续严格复现与扩展实验的基线。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参考文献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[1] Xu W, Dong Z, Peng J, Wang R, Zhang Z. BAHBench: A Unified Benchmark for Evaluating Bio-Acoustic Health With Acoustic Foundation Models. IEEE Journal of Biomedical and Health Informatics, 2025, 29(7): 4897-4909.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[2] Baevski A, Zhou Y, Mohamed A, Auli M. wav2vec 2.0: A Framework for Self-Supervised Learning of Speech Representations. NeurIPS, 2020.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[3] Hsu W N, Bolte B, Tsai Y H H, et al. HuBERT: Self-Supervised Speech Representation Learning by Masked Prediction of Hidden Units. IEEE/ACM TASLP, 2021.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[4] Hu E J, Shen Y, Wallis P, et al. LoRA: Low-Rank Adaptation of Large Language Models. ICLR, 2022.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附录 A 复现命令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bash experiments/01_paper_transformer/run.sh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bash experiments/02_lora_rank_sweep/run.sh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python src/plot_rank_sweep.py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bash experiments/03_confusion_matrices/run.sh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代码包 ZIP：C:/Users/violet/Desktop/BAHBench_我的复现实验代码_20260921.zip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结果目录：results_summary/ 和 results/ 输出目录</w:t>
      </w:r>
    </w:p>
    <w:sectPr w:rsidR="00FC693F" w:rsidRPr="0006063C" w:rsidSect="00034616">
      <w:pgSz w:w="11909" w:h="16834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